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A83C6" w14:textId="281F60A2" w:rsidR="00713F60" w:rsidRPr="00B82694" w:rsidRDefault="00E01E41" w:rsidP="00E01E41">
      <w:pPr>
        <w:pStyle w:val="Title"/>
      </w:pPr>
      <w:r w:rsidRPr="00B82694">
        <w:t>Ēdināšanas pakalpojumu nozare Baltijas valstīs</w:t>
      </w:r>
    </w:p>
    <w:p w14:paraId="3D547508" w14:textId="77AFA230" w:rsidR="00595C77" w:rsidRPr="00B82694" w:rsidRDefault="00664610" w:rsidP="00595C77">
      <w:pPr>
        <w:pStyle w:val="Subtitle"/>
      </w:pPr>
      <w:r w:rsidRPr="00B82694">
        <w:t xml:space="preserve">nozares </w:t>
      </w:r>
      <w:r w:rsidR="00AA382D" w:rsidRPr="00B82694">
        <w:t>starpvalstu salīdzinājums</w:t>
      </w:r>
    </w:p>
    <w:p w14:paraId="36D294C1" w14:textId="7232B0A0" w:rsidR="00C36431" w:rsidRPr="00B82694" w:rsidRDefault="00664610" w:rsidP="00C36431">
      <w:r w:rsidRPr="00B82694">
        <w:t xml:space="preserve">Šajā materiālā tiek </w:t>
      </w:r>
      <w:r w:rsidR="00AA382D" w:rsidRPr="00B82694">
        <w:t>veikts</w:t>
      </w:r>
      <w:r w:rsidRPr="00B82694">
        <w:t xml:space="preserve"> ēdināšanas pakalpojumu nozares </w:t>
      </w:r>
      <w:r w:rsidR="00AA382D" w:rsidRPr="00B82694">
        <w:t xml:space="preserve">salīdzinājums </w:t>
      </w:r>
      <w:r w:rsidRPr="00B82694">
        <w:t xml:space="preserve">Baltijas valstīs laikā no 2018. gada. </w:t>
      </w:r>
      <w:r w:rsidR="00AA382D" w:rsidRPr="00B82694">
        <w:t>Igaunijas, Latvijas un Lietuvas ēdināšanas pakalpojumu nozares salīdzināšanai t</w:t>
      </w:r>
      <w:r w:rsidRPr="00B82694">
        <w:t xml:space="preserve">iek </w:t>
      </w:r>
      <w:r w:rsidR="00AA382D" w:rsidRPr="00B82694">
        <w:t>izmantoti</w:t>
      </w:r>
      <w:r w:rsidRPr="00B82694">
        <w:t xml:space="preserve"> tādi nozares attīstīb</w:t>
      </w:r>
      <w:r w:rsidR="00821FCC" w:rsidRPr="00B82694">
        <w:t>u</w:t>
      </w:r>
      <w:r w:rsidRPr="00B82694">
        <w:t xml:space="preserve"> raksturojošie rādītāji, k</w:t>
      </w:r>
      <w:r w:rsidR="007457D2" w:rsidRPr="00B82694">
        <w:t>ā</w:t>
      </w:r>
      <w:r w:rsidRPr="00B82694">
        <w:t xml:space="preserve"> apgrozījums un inflācija, peļņa, rentabilitāte un likviditāte</w:t>
      </w:r>
      <w:r w:rsidR="009C377B" w:rsidRPr="00B82694">
        <w:t xml:space="preserve">. Tiek analizēts nozares devums valsts budžeta ieņēmumos pievienotās vērtības nodokļa (PVN) kontekstā. </w:t>
      </w:r>
      <w:r w:rsidR="00C36431" w:rsidRPr="00B82694">
        <w:t xml:space="preserve">Periods no 2018. gada tiek nosacīti sadalīts trīs posmos: </w:t>
      </w:r>
    </w:p>
    <w:p w14:paraId="47A17FC3" w14:textId="77777777" w:rsidR="00C36431" w:rsidRPr="00B82694" w:rsidRDefault="00C36431" w:rsidP="00C36431">
      <w:pPr>
        <w:pStyle w:val="ListParagraph"/>
        <w:numPr>
          <w:ilvl w:val="0"/>
          <w:numId w:val="5"/>
        </w:numPr>
      </w:pPr>
      <w:r w:rsidRPr="00B82694">
        <w:t>pirms Covid</w:t>
      </w:r>
      <w:r w:rsidRPr="00B82694">
        <w:noBreakHyphen/>
        <w:t xml:space="preserve">19 pandēmijas (līdz 2019. gada beigām), </w:t>
      </w:r>
    </w:p>
    <w:p w14:paraId="19AF38E7" w14:textId="77777777" w:rsidR="00C36431" w:rsidRPr="00B82694" w:rsidRDefault="00C36431" w:rsidP="00C36431">
      <w:pPr>
        <w:pStyle w:val="ListParagraph"/>
        <w:numPr>
          <w:ilvl w:val="0"/>
          <w:numId w:val="5"/>
        </w:numPr>
      </w:pPr>
      <w:r w:rsidRPr="00B82694">
        <w:t>Covid</w:t>
      </w:r>
      <w:r w:rsidRPr="00B82694">
        <w:noBreakHyphen/>
        <w:t xml:space="preserve">19 pandēmijas laiks (no 2020. gada līdz 2023. gada 1. pusgadam) un </w:t>
      </w:r>
    </w:p>
    <w:p w14:paraId="7226C052" w14:textId="77777777" w:rsidR="00C36431" w:rsidRPr="00B82694" w:rsidRDefault="00C36431" w:rsidP="00C36431">
      <w:pPr>
        <w:pStyle w:val="ListParagraph"/>
        <w:numPr>
          <w:ilvl w:val="0"/>
          <w:numId w:val="5"/>
        </w:numPr>
      </w:pPr>
      <w:r w:rsidRPr="00B82694">
        <w:t>pēc Covid</w:t>
      </w:r>
      <w:r w:rsidRPr="00B82694">
        <w:noBreakHyphen/>
        <w:t xml:space="preserve">19 pandēmijas (pēc 2023. gada 1. pusgada). </w:t>
      </w:r>
    </w:p>
    <w:p w14:paraId="1AF014C6" w14:textId="3B5212DC" w:rsidR="00C36431" w:rsidRPr="00B82694" w:rsidRDefault="00C36431">
      <w:r w:rsidRPr="00B82694">
        <w:t xml:space="preserve">Rādītāju izvēle tika ierobežota ar pieejamību. Diemžēl, uz materiāla sagatavošanas brīdī vairākiem ēdināšanas pakalpojumu nozares statistikas rādītājiem joprojām nav </w:t>
      </w:r>
      <w:r w:rsidR="00E51622" w:rsidRPr="00B82694">
        <w:t>apkopoti</w:t>
      </w:r>
      <w:r w:rsidRPr="00B82694">
        <w:t xml:space="preserve"> dati par 202</w:t>
      </w:r>
      <w:r w:rsidR="00821FCC" w:rsidRPr="00B82694">
        <w:t>3</w:t>
      </w:r>
      <w:r w:rsidRPr="00B82694">
        <w:t>. gadu, kas ierobežo iespēju spriest par situāciju nozarē pēc Covid</w:t>
      </w:r>
      <w:r w:rsidRPr="00B82694">
        <w:noBreakHyphen/>
        <w:t xml:space="preserve">19 pandēmijas laikā. Tomēr, neskatoties uz nosacīti ierobežoto rādītāju skaitu, kas tiek izmantots nozares salīdzināšanai Baltijas valstu griezumā, materiāls sniedz pietiekami daudz informācijas, lai būtu iespējams izveidot priekšstatu par analizējamo jautājumu. </w:t>
      </w:r>
    </w:p>
    <w:p w14:paraId="5052915E" w14:textId="77777777" w:rsidR="00BC16D4" w:rsidRPr="00B82694" w:rsidRDefault="00BC16D4" w:rsidP="00664610">
      <w:pPr>
        <w:pStyle w:val="Heading1"/>
      </w:pPr>
      <w:r w:rsidRPr="00B82694">
        <w:t>Apgrozījums un inflācija</w:t>
      </w:r>
    </w:p>
    <w:p w14:paraId="694393B5" w14:textId="5E5277F3" w:rsidR="00C622FD" w:rsidRPr="00B82694" w:rsidRDefault="003562CF">
      <w:r w:rsidRPr="00B82694">
        <w:t>Pirms Covid</w:t>
      </w:r>
      <w:r w:rsidRPr="00B82694">
        <w:noBreakHyphen/>
        <w:t>19 pandēmijas periodā Baltijas valstīs bija vērojama dinamiska ēdināšanas pakalpojumu nozares attīstība</w:t>
      </w:r>
      <w:r w:rsidR="000A6D18" w:rsidRPr="00B82694">
        <w:t>:</w:t>
      </w:r>
      <w:r w:rsidRPr="00B82694">
        <w:t xml:space="preserve"> </w:t>
      </w:r>
      <w:r w:rsidR="000A6D18" w:rsidRPr="00B82694">
        <w:t>d</w:t>
      </w:r>
      <w:r w:rsidRPr="00B82694">
        <w:t>ivu gadu laikā (no 2017. līdz 2019. gadam) nozares apgrozījum</w:t>
      </w:r>
      <w:r w:rsidR="000A6D18" w:rsidRPr="00B82694">
        <w:t>s</w:t>
      </w:r>
      <w:r w:rsidRPr="00B82694">
        <w:t xml:space="preserve"> Igaunijā </w:t>
      </w:r>
      <w:r w:rsidR="000A6D18" w:rsidRPr="00B82694">
        <w:t xml:space="preserve">pieauga par </w:t>
      </w:r>
      <w:r w:rsidRPr="00B82694">
        <w:t xml:space="preserve">17,4 %, Latvijā – </w:t>
      </w:r>
      <w:r w:rsidR="000A6D18" w:rsidRPr="00B82694">
        <w:t xml:space="preserve">par </w:t>
      </w:r>
      <w:r w:rsidRPr="00B82694">
        <w:t xml:space="preserve">22,8 %, bet Lietuvā – </w:t>
      </w:r>
      <w:r w:rsidR="000A6D18" w:rsidRPr="00B82694">
        <w:t xml:space="preserve">par </w:t>
      </w:r>
      <w:r w:rsidRPr="00B82694">
        <w:t>33,1</w:t>
      </w:r>
      <w:r w:rsidR="004F454D" w:rsidRPr="00B82694">
        <w:t> %</w:t>
      </w:r>
      <w:r w:rsidR="00065789" w:rsidRPr="00B82694">
        <w:t xml:space="preserve"> (skat. 2. att.)</w:t>
      </w:r>
      <w:r w:rsidRPr="00B82694">
        <w:t>.</w:t>
      </w:r>
    </w:p>
    <w:p w14:paraId="73292795" w14:textId="682331D2" w:rsidR="006E7A74" w:rsidRPr="00B82694" w:rsidRDefault="00372E25" w:rsidP="006E7A74">
      <w:pPr>
        <w:pStyle w:val="Attlanosaukums"/>
      </w:pPr>
      <w:r w:rsidRPr="00B82694">
        <w:t>2</w:t>
      </w:r>
      <w:r w:rsidR="006E7A74" w:rsidRPr="00B82694">
        <w:t>. attēls. Ēdināšanas pakalpojumu nozares apgrozījums</w:t>
      </w:r>
    </w:p>
    <w:p w14:paraId="55BB0994" w14:textId="22417CC9" w:rsidR="00D012A0" w:rsidRPr="00B82694" w:rsidRDefault="004D0A48" w:rsidP="006575B5">
      <w:pPr>
        <w:pStyle w:val="Attls"/>
      </w:pPr>
      <w:r w:rsidRPr="00B82694">
        <w:drawing>
          <wp:inline distT="0" distB="0" distL="0" distR="0" wp14:anchorId="24C7FB24" wp14:editId="4F9188D9">
            <wp:extent cx="3780000" cy="1799590"/>
            <wp:effectExtent l="0" t="0" r="0" b="0"/>
            <wp:docPr id="145318309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F0C78" w:rsidRPr="00B82694">
        <w:drawing>
          <wp:inline distT="0" distB="0" distL="0" distR="0" wp14:anchorId="455CEB9C" wp14:editId="18C7892E">
            <wp:extent cx="2160000" cy="1799590"/>
            <wp:effectExtent l="0" t="0" r="0" b="4445"/>
            <wp:docPr id="116579947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201EC4D" w14:textId="0A4BD293" w:rsidR="007204DA" w:rsidRPr="00B82694" w:rsidRDefault="004C1458" w:rsidP="007204DA">
      <w:pPr>
        <w:pStyle w:val="Piezme"/>
      </w:pPr>
      <w:r w:rsidRPr="00B82694">
        <w:rPr>
          <w:vertAlign w:val="superscript"/>
        </w:rPr>
        <w:t>1</w:t>
      </w:r>
      <w:r w:rsidRPr="00B82694">
        <w:t xml:space="preserve"> </w:t>
      </w:r>
      <w:r w:rsidR="00643807" w:rsidRPr="00B82694">
        <w:t>Statistiskā rādītāja i</w:t>
      </w:r>
      <w:r w:rsidR="007204DA" w:rsidRPr="00B82694">
        <w:t>ndekss</w:t>
      </w:r>
      <w:r w:rsidRPr="00B82694">
        <w:t xml:space="preserve"> </w:t>
      </w:r>
      <w:r w:rsidR="00643807" w:rsidRPr="00B82694">
        <w:t>ir statistikas rādītājs</w:t>
      </w:r>
      <w:r w:rsidR="00FD1EE2" w:rsidRPr="00B82694">
        <w:t xml:space="preserve">, kuram </w:t>
      </w:r>
      <w:r w:rsidRPr="00B82694">
        <w:t>atsauces (bāzes) period</w:t>
      </w:r>
      <w:r w:rsidR="00FD1EE2" w:rsidRPr="00B82694">
        <w:t xml:space="preserve">u </w:t>
      </w:r>
      <w:r w:rsidRPr="00B82694">
        <w:t>izsak</w:t>
      </w:r>
      <w:r w:rsidR="00FD1EE2" w:rsidRPr="00B82694">
        <w:t>a</w:t>
      </w:r>
      <w:r w:rsidRPr="00B82694">
        <w:t xml:space="preserve"> ar 100 indeksa punktiem. Bāzes perioda vidējā indeksa vērtība ir 100</w:t>
      </w:r>
      <w:r w:rsidR="00FD1EE2" w:rsidRPr="00B82694">
        <w:t>. Statistiskajam rādītājam un tā indeksam ir identiskā dinamika laika gaitā, bet dažāds mērogs.</w:t>
      </w:r>
    </w:p>
    <w:p w14:paraId="466F4798" w14:textId="0F982453" w:rsidR="00D012A0" w:rsidRPr="00B82694" w:rsidRDefault="006575B5" w:rsidP="006575B5">
      <w:pPr>
        <w:pStyle w:val="Avots"/>
      </w:pPr>
      <w:r w:rsidRPr="00B82694">
        <w:t>Avots: Eurostat</w:t>
      </w:r>
    </w:p>
    <w:p w14:paraId="46487600" w14:textId="00B14813" w:rsidR="00065789" w:rsidRPr="00B82694" w:rsidRDefault="00065789">
      <w:r w:rsidRPr="00B82694">
        <w:t>Vērts atzīmēt, ka minēt</w:t>
      </w:r>
      <w:r w:rsidR="00E85CC7" w:rsidRPr="00B82694">
        <w:t>ā</w:t>
      </w:r>
      <w:r w:rsidRPr="00B82694">
        <w:t xml:space="preserve"> nozares izaugsme notika stabilas ekonomiskas attīstības periodā un zemas inflācijas apstākļos.</w:t>
      </w:r>
      <w:r w:rsidR="003F26F5" w:rsidRPr="00B82694">
        <w:t xml:space="preserve"> Darbinieku atalgojuma pieaugums </w:t>
      </w:r>
      <w:r w:rsidR="00891D3A" w:rsidRPr="00B82694">
        <w:t xml:space="preserve">visās Baltijas valstīs </w:t>
      </w:r>
      <w:r w:rsidR="003F26F5" w:rsidRPr="00B82694">
        <w:t xml:space="preserve">bija </w:t>
      </w:r>
      <w:r w:rsidR="00891D3A" w:rsidRPr="00B82694">
        <w:t>lielāks par cenu kāpumu, līdz ar to uzlabojās iedzīvotāju labklājība un pirktspēja</w:t>
      </w:r>
      <w:r w:rsidR="00DE7BF1" w:rsidRPr="00B82694">
        <w:t xml:space="preserve"> (skat. 1. tab.)</w:t>
      </w:r>
      <w:r w:rsidR="00891D3A" w:rsidRPr="00B82694">
        <w:t>.</w:t>
      </w:r>
    </w:p>
    <w:p w14:paraId="644452E4" w14:textId="27978463" w:rsidR="00065789" w:rsidRPr="00B82694" w:rsidRDefault="003F26F5" w:rsidP="00595C77">
      <w:pPr>
        <w:pStyle w:val="Tabulasnosaukums"/>
      </w:pPr>
      <w:r w:rsidRPr="00B82694">
        <w:lastRenderedPageBreak/>
        <w:t>1. tabula. Ekonomiskā situācija Baltijas valstīs, 2018.-2019.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968"/>
        <w:gridCol w:w="895"/>
        <w:gridCol w:w="896"/>
        <w:gridCol w:w="894"/>
        <w:gridCol w:w="896"/>
        <w:gridCol w:w="894"/>
        <w:gridCol w:w="892"/>
      </w:tblGrid>
      <w:tr w:rsidR="00C62127" w:rsidRPr="00B82694" w14:paraId="7E81DCFE" w14:textId="77777777" w:rsidTr="00C62127">
        <w:tc>
          <w:tcPr>
            <w:tcW w:w="212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70B7041" w14:textId="04303AB6" w:rsidR="00C62127" w:rsidRPr="00B82694" w:rsidRDefault="00C62127" w:rsidP="00595C77">
            <w:pPr>
              <w:pStyle w:val="Tabletext"/>
              <w:keepNext/>
              <w:keepLines/>
              <w:rPr>
                <w:b/>
                <w:bCs/>
              </w:rPr>
            </w:pPr>
            <w:r w:rsidRPr="00B82694">
              <w:rPr>
                <w:b/>
                <w:bCs/>
              </w:rPr>
              <w:t>Statistikas rādītājs</w:t>
            </w:r>
          </w:p>
        </w:tc>
        <w:tc>
          <w:tcPr>
            <w:tcW w:w="959" w:type="pct"/>
            <w:gridSpan w:val="2"/>
            <w:tcMar>
              <w:left w:w="28" w:type="dxa"/>
              <w:right w:w="28" w:type="dxa"/>
            </w:tcMar>
            <w:vAlign w:val="center"/>
          </w:tcPr>
          <w:p w14:paraId="7CDE3A43" w14:textId="67C58531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2694">
              <w:rPr>
                <w:b/>
                <w:bCs/>
              </w:rPr>
              <w:t>Igaunija</w:t>
            </w:r>
          </w:p>
        </w:tc>
        <w:tc>
          <w:tcPr>
            <w:tcW w:w="959" w:type="pct"/>
            <w:gridSpan w:val="2"/>
            <w:tcMar>
              <w:left w:w="28" w:type="dxa"/>
              <w:right w:w="28" w:type="dxa"/>
            </w:tcMar>
            <w:vAlign w:val="center"/>
          </w:tcPr>
          <w:p w14:paraId="746E1592" w14:textId="6939E4BB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2694">
              <w:rPr>
                <w:b/>
                <w:bCs/>
              </w:rPr>
              <w:t>Latvija</w:t>
            </w:r>
          </w:p>
        </w:tc>
        <w:tc>
          <w:tcPr>
            <w:tcW w:w="957" w:type="pct"/>
            <w:gridSpan w:val="2"/>
            <w:tcMar>
              <w:left w:w="28" w:type="dxa"/>
              <w:right w:w="28" w:type="dxa"/>
            </w:tcMar>
            <w:vAlign w:val="center"/>
          </w:tcPr>
          <w:p w14:paraId="3E3E7E58" w14:textId="6F8DFE91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2694">
              <w:rPr>
                <w:b/>
                <w:bCs/>
              </w:rPr>
              <w:t>Lietuva</w:t>
            </w:r>
          </w:p>
        </w:tc>
      </w:tr>
      <w:tr w:rsidR="00C62127" w:rsidRPr="00B82694" w14:paraId="6ABDFBA7" w14:textId="77777777" w:rsidTr="00C62127">
        <w:tc>
          <w:tcPr>
            <w:tcW w:w="2125" w:type="pct"/>
            <w:vMerge/>
            <w:tcMar>
              <w:left w:w="28" w:type="dxa"/>
              <w:right w:w="28" w:type="dxa"/>
            </w:tcMar>
            <w:vAlign w:val="center"/>
          </w:tcPr>
          <w:p w14:paraId="5707F31C" w14:textId="77777777" w:rsidR="00C62127" w:rsidRPr="00B82694" w:rsidRDefault="00C62127" w:rsidP="00595C77">
            <w:pPr>
              <w:pStyle w:val="Tabletext"/>
              <w:keepNext/>
              <w:keepLines/>
              <w:rPr>
                <w:b/>
                <w:bCs/>
              </w:rPr>
            </w:pP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48FD4FE6" w14:textId="4865A393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b/>
                <w:bCs/>
                <w:sz w:val="16"/>
                <w:szCs w:val="20"/>
              </w:rPr>
            </w:pPr>
            <w:r w:rsidRPr="00B82694">
              <w:rPr>
                <w:b/>
                <w:bCs/>
                <w:sz w:val="16"/>
                <w:szCs w:val="20"/>
              </w:rPr>
              <w:t>2018</w:t>
            </w:r>
          </w:p>
        </w:tc>
        <w:tc>
          <w:tcPr>
            <w:tcW w:w="480" w:type="pct"/>
            <w:vAlign w:val="center"/>
          </w:tcPr>
          <w:p w14:paraId="6706564E" w14:textId="453DB274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b/>
                <w:bCs/>
                <w:sz w:val="16"/>
                <w:szCs w:val="20"/>
              </w:rPr>
            </w:pPr>
            <w:r w:rsidRPr="00B82694">
              <w:rPr>
                <w:b/>
                <w:bCs/>
                <w:sz w:val="16"/>
                <w:szCs w:val="20"/>
              </w:rPr>
              <w:t>2019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02F71241" w14:textId="5BE86CF2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b/>
                <w:bCs/>
                <w:sz w:val="16"/>
                <w:szCs w:val="20"/>
              </w:rPr>
            </w:pPr>
            <w:r w:rsidRPr="00B82694">
              <w:rPr>
                <w:b/>
                <w:bCs/>
                <w:sz w:val="16"/>
                <w:szCs w:val="20"/>
              </w:rPr>
              <w:t>2018</w:t>
            </w:r>
          </w:p>
        </w:tc>
        <w:tc>
          <w:tcPr>
            <w:tcW w:w="480" w:type="pct"/>
            <w:vAlign w:val="center"/>
          </w:tcPr>
          <w:p w14:paraId="7929E611" w14:textId="7EA86F1B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b/>
                <w:bCs/>
                <w:sz w:val="16"/>
                <w:szCs w:val="20"/>
              </w:rPr>
            </w:pPr>
            <w:r w:rsidRPr="00B82694">
              <w:rPr>
                <w:b/>
                <w:bCs/>
                <w:sz w:val="16"/>
                <w:szCs w:val="20"/>
              </w:rPr>
              <w:t>2019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3904FC41" w14:textId="4D305F7B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b/>
                <w:bCs/>
                <w:sz w:val="16"/>
                <w:szCs w:val="20"/>
              </w:rPr>
            </w:pPr>
            <w:r w:rsidRPr="00B82694">
              <w:rPr>
                <w:b/>
                <w:bCs/>
                <w:sz w:val="16"/>
                <w:szCs w:val="20"/>
              </w:rPr>
              <w:t>2018</w:t>
            </w:r>
          </w:p>
        </w:tc>
        <w:tc>
          <w:tcPr>
            <w:tcW w:w="478" w:type="pct"/>
            <w:vAlign w:val="center"/>
          </w:tcPr>
          <w:p w14:paraId="576C246B" w14:textId="53CBDF3A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b/>
                <w:bCs/>
                <w:sz w:val="16"/>
                <w:szCs w:val="20"/>
              </w:rPr>
            </w:pPr>
            <w:r w:rsidRPr="00B82694">
              <w:rPr>
                <w:b/>
                <w:bCs/>
                <w:sz w:val="16"/>
                <w:szCs w:val="20"/>
              </w:rPr>
              <w:t>2019</w:t>
            </w:r>
          </w:p>
        </w:tc>
      </w:tr>
      <w:tr w:rsidR="00C62127" w:rsidRPr="00B82694" w14:paraId="407E0310" w14:textId="77777777" w:rsidTr="00C62127">
        <w:tc>
          <w:tcPr>
            <w:tcW w:w="2125" w:type="pct"/>
            <w:tcMar>
              <w:left w:w="28" w:type="dxa"/>
              <w:right w:w="28" w:type="dxa"/>
            </w:tcMar>
            <w:vAlign w:val="center"/>
          </w:tcPr>
          <w:p w14:paraId="156C2D42" w14:textId="62C9ECAE" w:rsidR="00C62127" w:rsidRPr="00B82694" w:rsidRDefault="00B82694" w:rsidP="00595C77">
            <w:pPr>
              <w:pStyle w:val="Tabletext"/>
              <w:keepNext/>
              <w:keepLines/>
            </w:pPr>
            <w:hyperlink r:id="rId10" w:history="1">
              <w:r w:rsidR="00C62127" w:rsidRPr="00B82694">
                <w:rPr>
                  <w:rStyle w:val="Hyperlink"/>
                </w:rPr>
                <w:t>Reālais IKP</w:t>
              </w:r>
            </w:hyperlink>
            <w:r w:rsidR="00C62127" w:rsidRPr="00B82694">
              <w:t>, gada pārmaiņas, %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06ED807F" w14:textId="7E4D87EA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</w:t>
            </w:r>
            <w:r w:rsidR="00DD6C3F" w:rsidRPr="00B82694">
              <w:rPr>
                <w:sz w:val="16"/>
                <w:szCs w:val="20"/>
              </w:rPr>
              <w:t>3,8</w:t>
            </w:r>
          </w:p>
        </w:tc>
        <w:tc>
          <w:tcPr>
            <w:tcW w:w="480" w:type="pct"/>
            <w:vAlign w:val="center"/>
          </w:tcPr>
          <w:p w14:paraId="7210EC8E" w14:textId="3C425078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</w:t>
            </w:r>
            <w:r w:rsidR="00DD6C3F" w:rsidRPr="00B82694">
              <w:rPr>
                <w:sz w:val="16"/>
                <w:szCs w:val="20"/>
              </w:rPr>
              <w:t>4</w:t>
            </w:r>
            <w:r w:rsidRPr="00B82694">
              <w:rPr>
                <w:sz w:val="16"/>
                <w:szCs w:val="20"/>
              </w:rPr>
              <w:t>,0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7376F4B8" w14:textId="768BAA9B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+4,0</w:t>
            </w:r>
          </w:p>
        </w:tc>
        <w:tc>
          <w:tcPr>
            <w:tcW w:w="480" w:type="pct"/>
            <w:vAlign w:val="center"/>
          </w:tcPr>
          <w:p w14:paraId="0E4FEA8A" w14:textId="29871A91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</w:t>
            </w:r>
            <w:r w:rsidR="00DD6C3F" w:rsidRPr="00B82694">
              <w:rPr>
                <w:sz w:val="16"/>
                <w:szCs w:val="20"/>
              </w:rPr>
              <w:t>0,6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2F409B2A" w14:textId="738A8B91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</w:t>
            </w:r>
            <w:r w:rsidR="00DD6C3F" w:rsidRPr="00B82694">
              <w:rPr>
                <w:sz w:val="16"/>
                <w:szCs w:val="20"/>
              </w:rPr>
              <w:t>4,0</w:t>
            </w:r>
          </w:p>
        </w:tc>
        <w:tc>
          <w:tcPr>
            <w:tcW w:w="478" w:type="pct"/>
            <w:vAlign w:val="center"/>
          </w:tcPr>
          <w:p w14:paraId="2AE579CA" w14:textId="5347247D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+4,</w:t>
            </w:r>
            <w:r w:rsidR="00DD6C3F" w:rsidRPr="00B82694">
              <w:rPr>
                <w:sz w:val="16"/>
                <w:szCs w:val="20"/>
              </w:rPr>
              <w:t>7</w:t>
            </w:r>
          </w:p>
        </w:tc>
      </w:tr>
      <w:tr w:rsidR="00C62127" w:rsidRPr="00B82694" w14:paraId="1D32B05A" w14:textId="77777777" w:rsidTr="00C62127">
        <w:tc>
          <w:tcPr>
            <w:tcW w:w="2125" w:type="pct"/>
            <w:tcMar>
              <w:left w:w="28" w:type="dxa"/>
              <w:right w:w="28" w:type="dxa"/>
            </w:tcMar>
            <w:vAlign w:val="center"/>
          </w:tcPr>
          <w:p w14:paraId="3D485DFF" w14:textId="1E8CC466" w:rsidR="00C62127" w:rsidRPr="00B82694" w:rsidRDefault="00B82694" w:rsidP="00595C77">
            <w:pPr>
              <w:pStyle w:val="Tabletext"/>
              <w:keepNext/>
              <w:keepLines/>
            </w:pPr>
            <w:hyperlink r:id="rId11" w:history="1">
              <w:r w:rsidR="00C62127" w:rsidRPr="00B82694">
                <w:rPr>
                  <w:rStyle w:val="Hyperlink"/>
                </w:rPr>
                <w:t>Bezdarbs</w:t>
              </w:r>
            </w:hyperlink>
            <w:r w:rsidR="00C62127" w:rsidRPr="00B82694">
              <w:t>, %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32C24783" w14:textId="137AA235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5,4</w:t>
            </w:r>
          </w:p>
        </w:tc>
        <w:tc>
          <w:tcPr>
            <w:tcW w:w="480" w:type="pct"/>
            <w:vAlign w:val="center"/>
          </w:tcPr>
          <w:p w14:paraId="1C4AC9AB" w14:textId="4B84BBEB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4,</w:t>
            </w:r>
            <w:r w:rsidR="00596789" w:rsidRPr="00B82694">
              <w:rPr>
                <w:sz w:val="16"/>
                <w:szCs w:val="20"/>
              </w:rPr>
              <w:t>5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24FB0718" w14:textId="0C04281B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7,4</w:t>
            </w:r>
          </w:p>
        </w:tc>
        <w:tc>
          <w:tcPr>
            <w:tcW w:w="480" w:type="pct"/>
            <w:vAlign w:val="center"/>
          </w:tcPr>
          <w:p w14:paraId="7C276A47" w14:textId="65A559E8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6,3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187B92C7" w14:textId="7C47ACC4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6,2</w:t>
            </w:r>
          </w:p>
        </w:tc>
        <w:tc>
          <w:tcPr>
            <w:tcW w:w="478" w:type="pct"/>
            <w:vAlign w:val="center"/>
          </w:tcPr>
          <w:p w14:paraId="0F2518BC" w14:textId="3DCD8C14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6,3</w:t>
            </w:r>
          </w:p>
        </w:tc>
      </w:tr>
      <w:tr w:rsidR="00C62127" w:rsidRPr="00B82694" w14:paraId="3E41A420" w14:textId="77777777" w:rsidTr="00C62127">
        <w:tc>
          <w:tcPr>
            <w:tcW w:w="2125" w:type="pct"/>
            <w:tcMar>
              <w:left w:w="28" w:type="dxa"/>
              <w:right w:w="28" w:type="dxa"/>
            </w:tcMar>
            <w:vAlign w:val="center"/>
          </w:tcPr>
          <w:p w14:paraId="3CA42E2F" w14:textId="36B38CF5" w:rsidR="00C62127" w:rsidRPr="00B82694" w:rsidRDefault="00B82694" w:rsidP="00595C77">
            <w:pPr>
              <w:pStyle w:val="Tabletext"/>
              <w:keepNext/>
              <w:keepLines/>
            </w:pPr>
            <w:hyperlink r:id="rId12" w:history="1">
              <w:r w:rsidR="00C62127" w:rsidRPr="00B82694">
                <w:rPr>
                  <w:rStyle w:val="Hyperlink"/>
                </w:rPr>
                <w:t>Patēriņa cenas</w:t>
              </w:r>
            </w:hyperlink>
            <w:r w:rsidR="00C62127" w:rsidRPr="00B82694">
              <w:t>, gada pārmaiņas, %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5B6BA500" w14:textId="4EE48ACE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+3,4</w:t>
            </w:r>
          </w:p>
        </w:tc>
        <w:tc>
          <w:tcPr>
            <w:tcW w:w="480" w:type="pct"/>
            <w:vAlign w:val="center"/>
          </w:tcPr>
          <w:p w14:paraId="018C917A" w14:textId="58670E4E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+2,3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780CABA0" w14:textId="27492760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+2,6</w:t>
            </w:r>
          </w:p>
        </w:tc>
        <w:tc>
          <w:tcPr>
            <w:tcW w:w="480" w:type="pct"/>
            <w:vAlign w:val="center"/>
          </w:tcPr>
          <w:p w14:paraId="08B5A4FA" w14:textId="7415BFCB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+2,7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372E0EF4" w14:textId="3712DAC6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+2,5</w:t>
            </w:r>
          </w:p>
        </w:tc>
        <w:tc>
          <w:tcPr>
            <w:tcW w:w="478" w:type="pct"/>
            <w:vAlign w:val="center"/>
          </w:tcPr>
          <w:p w14:paraId="3B86D261" w14:textId="0BD4F8BD" w:rsidR="00C62127" w:rsidRPr="00B82694" w:rsidRDefault="00C62127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+2,2</w:t>
            </w:r>
          </w:p>
        </w:tc>
      </w:tr>
      <w:tr w:rsidR="00C62127" w:rsidRPr="00B82694" w14:paraId="20421003" w14:textId="77777777" w:rsidTr="00C62127">
        <w:tc>
          <w:tcPr>
            <w:tcW w:w="2125" w:type="pct"/>
            <w:tcMar>
              <w:left w:w="28" w:type="dxa"/>
              <w:right w:w="28" w:type="dxa"/>
            </w:tcMar>
            <w:vAlign w:val="center"/>
          </w:tcPr>
          <w:p w14:paraId="7F654917" w14:textId="64E7E4ED" w:rsidR="00C62127" w:rsidRPr="00B82694" w:rsidRDefault="00B82694" w:rsidP="00595C77">
            <w:pPr>
              <w:pStyle w:val="Tabletext"/>
              <w:keepNext/>
              <w:keepLines/>
            </w:pPr>
            <w:hyperlink r:id="rId13" w:history="1">
              <w:r w:rsidR="003F26F5" w:rsidRPr="00B82694">
                <w:rPr>
                  <w:rStyle w:val="Hyperlink"/>
                </w:rPr>
                <w:t>Darbinieku atalgojums</w:t>
              </w:r>
            </w:hyperlink>
            <w:r w:rsidR="003F26F5" w:rsidRPr="00B82694">
              <w:t>, gada pārmaiņas, %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6BB1FF7F" w14:textId="51B20A13" w:rsidR="00C62127" w:rsidRPr="00B82694" w:rsidRDefault="003F26F5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+10,1</w:t>
            </w:r>
          </w:p>
        </w:tc>
        <w:tc>
          <w:tcPr>
            <w:tcW w:w="480" w:type="pct"/>
            <w:vAlign w:val="center"/>
          </w:tcPr>
          <w:p w14:paraId="26A3ACFD" w14:textId="7A0E619C" w:rsidR="00C62127" w:rsidRPr="00B82694" w:rsidRDefault="003F26F5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+9,0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70303781" w14:textId="365CB9E6" w:rsidR="00C62127" w:rsidRPr="00B82694" w:rsidRDefault="003F26F5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+11,1</w:t>
            </w:r>
          </w:p>
        </w:tc>
        <w:tc>
          <w:tcPr>
            <w:tcW w:w="480" w:type="pct"/>
            <w:vAlign w:val="center"/>
          </w:tcPr>
          <w:p w14:paraId="04CE48A7" w14:textId="797D6C0C" w:rsidR="00C62127" w:rsidRPr="00B82694" w:rsidRDefault="003F26F5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+7,6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78C5DAA6" w14:textId="37046D81" w:rsidR="00C62127" w:rsidRPr="00B82694" w:rsidRDefault="003F26F5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+9,8</w:t>
            </w:r>
          </w:p>
        </w:tc>
        <w:tc>
          <w:tcPr>
            <w:tcW w:w="478" w:type="pct"/>
            <w:vAlign w:val="center"/>
          </w:tcPr>
          <w:p w14:paraId="5962040B" w14:textId="6AB1ADCA" w:rsidR="00C62127" w:rsidRPr="00B82694" w:rsidRDefault="003F26F5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+11,1</w:t>
            </w:r>
          </w:p>
        </w:tc>
      </w:tr>
    </w:tbl>
    <w:p w14:paraId="3D93C66F" w14:textId="54E0452F" w:rsidR="00C62127" w:rsidRPr="00B82694" w:rsidRDefault="00C62127" w:rsidP="00C62127">
      <w:pPr>
        <w:pStyle w:val="Avots"/>
      </w:pPr>
      <w:r w:rsidRPr="00B82694">
        <w:t xml:space="preserve">Avots: </w:t>
      </w:r>
      <w:r w:rsidR="00596789" w:rsidRPr="00B82694">
        <w:t>Eurostat</w:t>
      </w:r>
    </w:p>
    <w:p w14:paraId="5BA45144" w14:textId="3EC412C4" w:rsidR="00065789" w:rsidRPr="00B82694" w:rsidRDefault="00065789">
      <w:r w:rsidRPr="00B82694">
        <w:t>2020. gadā Baltijas valstīs, kā arī pārejā pasaul</w:t>
      </w:r>
      <w:r w:rsidR="00E85CC7" w:rsidRPr="00B82694">
        <w:t>ē,</w:t>
      </w:r>
      <w:r w:rsidRPr="00B82694">
        <w:t xml:space="preserve"> sāk</w:t>
      </w:r>
      <w:r w:rsidR="00E85CC7" w:rsidRPr="00B82694">
        <w:t>ās</w:t>
      </w:r>
      <w:r w:rsidRPr="00B82694">
        <w:t xml:space="preserve"> Covid</w:t>
      </w:r>
      <w:r w:rsidRPr="00B82694">
        <w:noBreakHyphen/>
        <w:t>19 pandēmija. 2020. gada 2. ceturksnī</w:t>
      </w:r>
      <w:r w:rsidR="00E85CC7" w:rsidRPr="00B82694">
        <w:t>,</w:t>
      </w:r>
      <w:r w:rsidRPr="00B82694">
        <w:t xml:space="preserve"> salīdzinājumā ar iepriekšējā gada attiecīgo periodu</w:t>
      </w:r>
      <w:r w:rsidR="00E85CC7" w:rsidRPr="00B82694">
        <w:t>,</w:t>
      </w:r>
      <w:r w:rsidRPr="00B82694">
        <w:t xml:space="preserve"> nozares apgrozījums ieviesto Covid</w:t>
      </w:r>
      <w:r w:rsidRPr="00B82694">
        <w:noBreakHyphen/>
        <w:t>19 izplatīšanas ierobežojošo pasākumu rezultātā saruka: Igaunijā par 51,6 %, Latvijā par 53,5 % un Lietuvā par 41,8 </w:t>
      </w:r>
      <w:r w:rsidR="00E85CC7" w:rsidRPr="00B82694">
        <w:t>%</w:t>
      </w:r>
      <w:r w:rsidRPr="00B82694">
        <w:t xml:space="preserve"> (skat. 2. att.).</w:t>
      </w:r>
    </w:p>
    <w:p w14:paraId="2CC4C33D" w14:textId="3E2E4727" w:rsidR="00D012A0" w:rsidRPr="00B82694" w:rsidRDefault="001F5FED">
      <w:r w:rsidRPr="00B82694">
        <w:t xml:space="preserve">Dati par nozares apgrozījumu 2020. gada 3. ceturksnī liecina, ka </w:t>
      </w:r>
      <w:r w:rsidR="00E85CC7" w:rsidRPr="00B82694">
        <w:t xml:space="preserve">situācija </w:t>
      </w:r>
      <w:r w:rsidRPr="00B82694">
        <w:t xml:space="preserve">Igaunijā un Latvijā nedaudz uzlabojās, kaut arī bija par apmēram </w:t>
      </w:r>
      <w:r w:rsidR="0065568C" w:rsidRPr="00B82694">
        <w:t xml:space="preserve">par </w:t>
      </w:r>
      <w:r w:rsidRPr="00B82694">
        <w:t xml:space="preserve">20 % sliktāka, nekā gadu iepriekš. Savukārt Lietuvā 2020. gada 3. ceturksnī apgrozījums bija tikai par 2,9 % zemāks, nekā gadu iepriekš. </w:t>
      </w:r>
    </w:p>
    <w:p w14:paraId="1FBFB0A4" w14:textId="0B81F74E" w:rsidR="00C762CB" w:rsidRPr="00B82694" w:rsidRDefault="007C4201">
      <w:r w:rsidRPr="00B82694">
        <w:t>Ar Covid</w:t>
      </w:r>
      <w:r w:rsidRPr="00B82694">
        <w:noBreakHyphen/>
        <w:t xml:space="preserve">19 saslimšanas </w:t>
      </w:r>
      <w:r w:rsidR="004D6C79" w:rsidRPr="00B82694">
        <w:t>2. viln</w:t>
      </w:r>
      <w:r w:rsidR="00E85CC7" w:rsidRPr="00B82694">
        <w:t>i</w:t>
      </w:r>
      <w:r w:rsidR="004D6C79" w:rsidRPr="00B82694">
        <w:t xml:space="preserve"> un ar t</w:t>
      </w:r>
      <w:r w:rsidR="00674636" w:rsidRPr="00B82694">
        <w:t>ā</w:t>
      </w:r>
      <w:r w:rsidR="004D6C79" w:rsidRPr="00B82694">
        <w:t xml:space="preserve"> apkarošanu saistītie ierobežojumi noveda pie loģiskas situācijas pasliktināšanā</w:t>
      </w:r>
      <w:r w:rsidR="00E85CC7" w:rsidRPr="00B82694">
        <w:t>s</w:t>
      </w:r>
      <w:r w:rsidR="004D6C79" w:rsidRPr="00B82694">
        <w:t xml:space="preserve"> nozarē katrā no Baltijas valstīm. Rezultātā 2020. gadā salīdzinājumā ar 2019. gadu Igaunijā bija novērots nozares apgrozījuma samazinājums par 29,6 %, Latvijā – par 29,9 % un Lietuvā – par 21,8 procentiem.</w:t>
      </w:r>
      <w:r w:rsidR="000007A6" w:rsidRPr="00B82694">
        <w:t xml:space="preserve"> Covid</w:t>
      </w:r>
      <w:r w:rsidR="000007A6" w:rsidRPr="00B82694">
        <w:noBreakHyphen/>
        <w:t>19 pandēmija</w:t>
      </w:r>
      <w:r w:rsidR="00E85CC7" w:rsidRPr="00B82694">
        <w:t xml:space="preserve"> atstāja </w:t>
      </w:r>
      <w:r w:rsidR="000007A6" w:rsidRPr="00B82694">
        <w:t>negatīv</w:t>
      </w:r>
      <w:r w:rsidR="00E85CC7" w:rsidRPr="00B82694">
        <w:t>o</w:t>
      </w:r>
      <w:r w:rsidR="000007A6" w:rsidRPr="00B82694">
        <w:t xml:space="preserve"> ietekm</w:t>
      </w:r>
      <w:r w:rsidR="00E85CC7" w:rsidRPr="00B82694">
        <w:t>i</w:t>
      </w:r>
      <w:r w:rsidR="000007A6" w:rsidRPr="00B82694">
        <w:t xml:space="preserve"> arī uz citām nozarēm</w:t>
      </w:r>
      <w:r w:rsidR="00E85CC7" w:rsidRPr="00B82694">
        <w:t xml:space="preserve"> un</w:t>
      </w:r>
      <w:r w:rsidR="000007A6" w:rsidRPr="00B82694">
        <w:t xml:space="preserve"> uz Baltijas valstu tautsaimniecībām</w:t>
      </w:r>
      <w:r w:rsidR="00E85CC7" w:rsidRPr="00B82694">
        <w:t xml:space="preserve"> kopumā</w:t>
      </w:r>
      <w:r w:rsidR="000007A6" w:rsidRPr="00B82694">
        <w:t xml:space="preserve">: </w:t>
      </w:r>
      <w:r w:rsidR="007C731C" w:rsidRPr="00B82694">
        <w:t xml:space="preserve">2020. gadā </w:t>
      </w:r>
      <w:r w:rsidR="000007A6" w:rsidRPr="00B82694">
        <w:t xml:space="preserve">Lietuvas ekonomikas reālā </w:t>
      </w:r>
      <w:r w:rsidR="007C731C" w:rsidRPr="00B82694">
        <w:t>izaugsme apstāj</w:t>
      </w:r>
      <w:r w:rsidR="00E85CC7" w:rsidRPr="00B82694">
        <w:t>ā</w:t>
      </w:r>
      <w:r w:rsidR="007C731C" w:rsidRPr="00B82694">
        <w:t>s</w:t>
      </w:r>
      <w:r w:rsidR="000007A6" w:rsidRPr="00B82694">
        <w:t>, savukārt Latvijas un Igaunijas tautsaimniecībā bija novēro</w:t>
      </w:r>
      <w:r w:rsidR="008D6194" w:rsidRPr="00B82694">
        <w:t>jam</w:t>
      </w:r>
      <w:r w:rsidR="000007A6" w:rsidRPr="00B82694">
        <w:t>a lejupslīde (skat. 2. tab.).</w:t>
      </w:r>
    </w:p>
    <w:p w14:paraId="5521EEFF" w14:textId="2309A798" w:rsidR="00C762CB" w:rsidRPr="00B82694" w:rsidRDefault="00C762CB" w:rsidP="00595C77">
      <w:pPr>
        <w:pStyle w:val="Tabulasnosaukums"/>
      </w:pPr>
      <w:r w:rsidRPr="00B82694">
        <w:t>2. tabula. Ekonomiskā situācija Baltijas valstīs, 2020.-2021.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968"/>
        <w:gridCol w:w="895"/>
        <w:gridCol w:w="896"/>
        <w:gridCol w:w="894"/>
        <w:gridCol w:w="896"/>
        <w:gridCol w:w="894"/>
        <w:gridCol w:w="892"/>
      </w:tblGrid>
      <w:tr w:rsidR="00C762CB" w:rsidRPr="00B82694" w14:paraId="24F5645D" w14:textId="77777777" w:rsidTr="00100A37">
        <w:tc>
          <w:tcPr>
            <w:tcW w:w="212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1DA817F" w14:textId="77777777" w:rsidR="00C762CB" w:rsidRPr="00B82694" w:rsidRDefault="00C762CB" w:rsidP="00595C77">
            <w:pPr>
              <w:pStyle w:val="Tabletext"/>
              <w:keepNext/>
              <w:keepLines/>
              <w:rPr>
                <w:b/>
                <w:bCs/>
              </w:rPr>
            </w:pPr>
            <w:r w:rsidRPr="00B82694">
              <w:rPr>
                <w:b/>
                <w:bCs/>
              </w:rPr>
              <w:t>Statistikas rādītājs</w:t>
            </w:r>
          </w:p>
        </w:tc>
        <w:tc>
          <w:tcPr>
            <w:tcW w:w="959" w:type="pct"/>
            <w:gridSpan w:val="2"/>
            <w:tcMar>
              <w:left w:w="28" w:type="dxa"/>
              <w:right w:w="28" w:type="dxa"/>
            </w:tcMar>
            <w:vAlign w:val="center"/>
          </w:tcPr>
          <w:p w14:paraId="06A6A0A2" w14:textId="77777777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2694">
              <w:rPr>
                <w:b/>
                <w:bCs/>
              </w:rPr>
              <w:t>Igaunija</w:t>
            </w:r>
          </w:p>
        </w:tc>
        <w:tc>
          <w:tcPr>
            <w:tcW w:w="959" w:type="pct"/>
            <w:gridSpan w:val="2"/>
            <w:tcMar>
              <w:left w:w="28" w:type="dxa"/>
              <w:right w:w="28" w:type="dxa"/>
            </w:tcMar>
            <w:vAlign w:val="center"/>
          </w:tcPr>
          <w:p w14:paraId="416D22DF" w14:textId="77777777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2694">
              <w:rPr>
                <w:b/>
                <w:bCs/>
              </w:rPr>
              <w:t>Latvija</w:t>
            </w:r>
          </w:p>
        </w:tc>
        <w:tc>
          <w:tcPr>
            <w:tcW w:w="957" w:type="pct"/>
            <w:gridSpan w:val="2"/>
            <w:tcMar>
              <w:left w:w="28" w:type="dxa"/>
              <w:right w:w="28" w:type="dxa"/>
            </w:tcMar>
            <w:vAlign w:val="center"/>
          </w:tcPr>
          <w:p w14:paraId="12DF8B73" w14:textId="77777777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2694">
              <w:rPr>
                <w:b/>
                <w:bCs/>
              </w:rPr>
              <w:t>Lietuva</w:t>
            </w:r>
          </w:p>
        </w:tc>
      </w:tr>
      <w:tr w:rsidR="00C762CB" w:rsidRPr="00B82694" w14:paraId="2D84B8E6" w14:textId="77777777" w:rsidTr="00100A37">
        <w:tc>
          <w:tcPr>
            <w:tcW w:w="2125" w:type="pct"/>
            <w:vMerge/>
            <w:tcMar>
              <w:left w:w="28" w:type="dxa"/>
              <w:right w:w="28" w:type="dxa"/>
            </w:tcMar>
            <w:vAlign w:val="center"/>
          </w:tcPr>
          <w:p w14:paraId="7518165A" w14:textId="77777777" w:rsidR="00C762CB" w:rsidRPr="00B82694" w:rsidRDefault="00C762CB" w:rsidP="00595C77">
            <w:pPr>
              <w:pStyle w:val="Tabletext"/>
              <w:keepNext/>
              <w:keepLines/>
              <w:rPr>
                <w:b/>
                <w:bCs/>
              </w:rPr>
            </w:pP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381E8158" w14:textId="0408B78E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b/>
                <w:bCs/>
                <w:sz w:val="16"/>
                <w:szCs w:val="20"/>
              </w:rPr>
            </w:pPr>
            <w:r w:rsidRPr="00B82694">
              <w:rPr>
                <w:b/>
                <w:bCs/>
                <w:sz w:val="16"/>
                <w:szCs w:val="20"/>
              </w:rPr>
              <w:t>2020</w:t>
            </w:r>
          </w:p>
        </w:tc>
        <w:tc>
          <w:tcPr>
            <w:tcW w:w="480" w:type="pct"/>
            <w:vAlign w:val="center"/>
          </w:tcPr>
          <w:p w14:paraId="0554D02F" w14:textId="41955A1A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b/>
                <w:bCs/>
                <w:sz w:val="16"/>
                <w:szCs w:val="20"/>
              </w:rPr>
            </w:pPr>
            <w:r w:rsidRPr="00B82694">
              <w:rPr>
                <w:b/>
                <w:bCs/>
                <w:sz w:val="16"/>
                <w:szCs w:val="20"/>
              </w:rPr>
              <w:t>2021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21C34BEE" w14:textId="1039B836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b/>
                <w:bCs/>
                <w:sz w:val="16"/>
                <w:szCs w:val="20"/>
              </w:rPr>
            </w:pPr>
            <w:r w:rsidRPr="00B82694">
              <w:rPr>
                <w:b/>
                <w:bCs/>
                <w:sz w:val="16"/>
                <w:szCs w:val="20"/>
              </w:rPr>
              <w:t>2020</w:t>
            </w:r>
          </w:p>
        </w:tc>
        <w:tc>
          <w:tcPr>
            <w:tcW w:w="480" w:type="pct"/>
            <w:vAlign w:val="center"/>
          </w:tcPr>
          <w:p w14:paraId="5C44AD6B" w14:textId="2ACCB72D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b/>
                <w:bCs/>
                <w:sz w:val="16"/>
                <w:szCs w:val="20"/>
              </w:rPr>
            </w:pPr>
            <w:r w:rsidRPr="00B82694">
              <w:rPr>
                <w:b/>
                <w:bCs/>
                <w:sz w:val="16"/>
                <w:szCs w:val="20"/>
              </w:rPr>
              <w:t>2021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51BDD868" w14:textId="1DBBEB17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b/>
                <w:bCs/>
                <w:sz w:val="16"/>
                <w:szCs w:val="20"/>
              </w:rPr>
            </w:pPr>
            <w:r w:rsidRPr="00B82694">
              <w:rPr>
                <w:b/>
                <w:bCs/>
                <w:sz w:val="16"/>
                <w:szCs w:val="20"/>
              </w:rPr>
              <w:t>2020</w:t>
            </w:r>
          </w:p>
        </w:tc>
        <w:tc>
          <w:tcPr>
            <w:tcW w:w="478" w:type="pct"/>
            <w:vAlign w:val="center"/>
          </w:tcPr>
          <w:p w14:paraId="7B23F541" w14:textId="41C337D5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b/>
                <w:bCs/>
                <w:sz w:val="16"/>
                <w:szCs w:val="20"/>
              </w:rPr>
            </w:pPr>
            <w:r w:rsidRPr="00B82694">
              <w:rPr>
                <w:b/>
                <w:bCs/>
                <w:sz w:val="16"/>
                <w:szCs w:val="20"/>
              </w:rPr>
              <w:t>2021</w:t>
            </w:r>
          </w:p>
        </w:tc>
      </w:tr>
      <w:tr w:rsidR="00C762CB" w:rsidRPr="00B82694" w14:paraId="3C2A279F" w14:textId="77777777" w:rsidTr="00100A37">
        <w:tc>
          <w:tcPr>
            <w:tcW w:w="2125" w:type="pct"/>
            <w:tcMar>
              <w:left w:w="28" w:type="dxa"/>
              <w:right w:w="28" w:type="dxa"/>
            </w:tcMar>
            <w:vAlign w:val="center"/>
          </w:tcPr>
          <w:p w14:paraId="57B613D0" w14:textId="77777777" w:rsidR="00C762CB" w:rsidRPr="00B82694" w:rsidRDefault="00B82694" w:rsidP="00595C77">
            <w:pPr>
              <w:pStyle w:val="Tabletext"/>
              <w:keepNext/>
              <w:keepLines/>
            </w:pPr>
            <w:hyperlink r:id="rId14" w:history="1">
              <w:r w:rsidR="00C762CB" w:rsidRPr="00B82694">
                <w:rPr>
                  <w:rStyle w:val="Hyperlink"/>
                </w:rPr>
                <w:t>Reālais IKP</w:t>
              </w:r>
            </w:hyperlink>
            <w:r w:rsidR="00C762CB" w:rsidRPr="00B82694">
              <w:t>, gada pārmaiņas, %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7F22FE9B" w14:textId="617B56FC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-1,0</w:t>
            </w:r>
          </w:p>
        </w:tc>
        <w:tc>
          <w:tcPr>
            <w:tcW w:w="480" w:type="pct"/>
            <w:vAlign w:val="center"/>
          </w:tcPr>
          <w:p w14:paraId="7C8E7DA9" w14:textId="0613A0A1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+7,2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0177B841" w14:textId="362FF5D7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-3,5</w:t>
            </w:r>
          </w:p>
        </w:tc>
        <w:tc>
          <w:tcPr>
            <w:tcW w:w="480" w:type="pct"/>
            <w:vAlign w:val="center"/>
          </w:tcPr>
          <w:p w14:paraId="68E452D4" w14:textId="7865BC21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+6,7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1A4A7838" w14:textId="3368D703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0,0</w:t>
            </w:r>
          </w:p>
        </w:tc>
        <w:tc>
          <w:tcPr>
            <w:tcW w:w="478" w:type="pct"/>
            <w:vAlign w:val="center"/>
          </w:tcPr>
          <w:p w14:paraId="35F2BC2F" w14:textId="04138661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+6,3</w:t>
            </w:r>
          </w:p>
        </w:tc>
      </w:tr>
      <w:tr w:rsidR="00C762CB" w:rsidRPr="00B82694" w14:paraId="6833A8A8" w14:textId="77777777" w:rsidTr="00100A37">
        <w:tc>
          <w:tcPr>
            <w:tcW w:w="2125" w:type="pct"/>
            <w:tcMar>
              <w:left w:w="28" w:type="dxa"/>
              <w:right w:w="28" w:type="dxa"/>
            </w:tcMar>
            <w:vAlign w:val="center"/>
          </w:tcPr>
          <w:p w14:paraId="383EE2B8" w14:textId="77777777" w:rsidR="00C762CB" w:rsidRPr="00B82694" w:rsidRDefault="00B82694" w:rsidP="00595C77">
            <w:pPr>
              <w:pStyle w:val="Tabletext"/>
              <w:keepNext/>
              <w:keepLines/>
            </w:pPr>
            <w:hyperlink r:id="rId15" w:history="1">
              <w:r w:rsidR="00C762CB" w:rsidRPr="00B82694">
                <w:rPr>
                  <w:rStyle w:val="Hyperlink"/>
                </w:rPr>
                <w:t>Bezdarbs</w:t>
              </w:r>
            </w:hyperlink>
            <w:r w:rsidR="00C762CB" w:rsidRPr="00B82694">
              <w:t>, %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5F8C6C28" w14:textId="6334768F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6,9</w:t>
            </w:r>
          </w:p>
        </w:tc>
        <w:tc>
          <w:tcPr>
            <w:tcW w:w="480" w:type="pct"/>
            <w:vAlign w:val="center"/>
          </w:tcPr>
          <w:p w14:paraId="291E2707" w14:textId="6D2140D3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6,2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04CC11FC" w14:textId="5B39C83A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8,1</w:t>
            </w:r>
          </w:p>
        </w:tc>
        <w:tc>
          <w:tcPr>
            <w:tcW w:w="480" w:type="pct"/>
            <w:vAlign w:val="center"/>
          </w:tcPr>
          <w:p w14:paraId="23DAAD3E" w14:textId="642F632B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7,6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1734DBF2" w14:textId="4B0C6636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8,5</w:t>
            </w:r>
          </w:p>
        </w:tc>
        <w:tc>
          <w:tcPr>
            <w:tcW w:w="478" w:type="pct"/>
            <w:vAlign w:val="center"/>
          </w:tcPr>
          <w:p w14:paraId="61E6A422" w14:textId="1E10030E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7,1</w:t>
            </w:r>
          </w:p>
        </w:tc>
      </w:tr>
      <w:tr w:rsidR="00C762CB" w:rsidRPr="00B82694" w14:paraId="4FEDBC72" w14:textId="77777777" w:rsidTr="00100A37">
        <w:tc>
          <w:tcPr>
            <w:tcW w:w="2125" w:type="pct"/>
            <w:tcMar>
              <w:left w:w="28" w:type="dxa"/>
              <w:right w:w="28" w:type="dxa"/>
            </w:tcMar>
            <w:vAlign w:val="center"/>
          </w:tcPr>
          <w:p w14:paraId="20DA1BFC" w14:textId="77777777" w:rsidR="00C762CB" w:rsidRPr="00B82694" w:rsidRDefault="00B82694" w:rsidP="00595C77">
            <w:pPr>
              <w:pStyle w:val="Tabletext"/>
              <w:keepNext/>
              <w:keepLines/>
            </w:pPr>
            <w:hyperlink r:id="rId16" w:history="1">
              <w:r w:rsidR="00C762CB" w:rsidRPr="00B82694">
                <w:rPr>
                  <w:rStyle w:val="Hyperlink"/>
                </w:rPr>
                <w:t>Patēriņa cenas</w:t>
              </w:r>
            </w:hyperlink>
            <w:r w:rsidR="00C762CB" w:rsidRPr="00B82694">
              <w:t>, gada pārmaiņas, %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6A705C0D" w14:textId="12099F8E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-0,6</w:t>
            </w:r>
          </w:p>
        </w:tc>
        <w:tc>
          <w:tcPr>
            <w:tcW w:w="480" w:type="pct"/>
            <w:vAlign w:val="center"/>
          </w:tcPr>
          <w:p w14:paraId="73883FD4" w14:textId="24471F2C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+4,5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4D059170" w14:textId="5986FA18" w:rsidR="00C762CB" w:rsidRPr="00B82694" w:rsidRDefault="009660D2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</w:t>
            </w:r>
            <w:r w:rsidR="00C762CB" w:rsidRPr="00B82694">
              <w:rPr>
                <w:sz w:val="16"/>
                <w:szCs w:val="20"/>
              </w:rPr>
              <w:t>0,1</w:t>
            </w:r>
          </w:p>
        </w:tc>
        <w:tc>
          <w:tcPr>
            <w:tcW w:w="480" w:type="pct"/>
            <w:vAlign w:val="center"/>
          </w:tcPr>
          <w:p w14:paraId="69A96567" w14:textId="7E357F86" w:rsidR="00C762CB" w:rsidRPr="00B82694" w:rsidRDefault="009660D2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</w:t>
            </w:r>
            <w:r w:rsidR="00C762CB" w:rsidRPr="00B82694">
              <w:rPr>
                <w:sz w:val="16"/>
                <w:szCs w:val="20"/>
              </w:rPr>
              <w:t>3,2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22A419F4" w14:textId="6E9436F1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+1,1</w:t>
            </w:r>
          </w:p>
        </w:tc>
        <w:tc>
          <w:tcPr>
            <w:tcW w:w="478" w:type="pct"/>
            <w:vAlign w:val="center"/>
          </w:tcPr>
          <w:p w14:paraId="0C8470F2" w14:textId="5D305F8F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+4,6</w:t>
            </w:r>
          </w:p>
        </w:tc>
      </w:tr>
      <w:tr w:rsidR="00C762CB" w:rsidRPr="00B82694" w14:paraId="5AE704AF" w14:textId="77777777" w:rsidTr="00100A37">
        <w:tc>
          <w:tcPr>
            <w:tcW w:w="2125" w:type="pct"/>
            <w:tcMar>
              <w:left w:w="28" w:type="dxa"/>
              <w:right w:w="28" w:type="dxa"/>
            </w:tcMar>
            <w:vAlign w:val="center"/>
          </w:tcPr>
          <w:p w14:paraId="6E6334A8" w14:textId="77777777" w:rsidR="00C762CB" w:rsidRPr="00B82694" w:rsidRDefault="00B82694" w:rsidP="00595C77">
            <w:pPr>
              <w:pStyle w:val="Tabletext"/>
              <w:keepNext/>
              <w:keepLines/>
            </w:pPr>
            <w:hyperlink r:id="rId17" w:history="1">
              <w:r w:rsidR="00C762CB" w:rsidRPr="00B82694">
                <w:rPr>
                  <w:rStyle w:val="Hyperlink"/>
                </w:rPr>
                <w:t>Darbinieku atalgojums</w:t>
              </w:r>
            </w:hyperlink>
            <w:r w:rsidR="00C762CB" w:rsidRPr="00B82694">
              <w:t>, gada pārmaiņas, %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6EE809AA" w14:textId="660F30D2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+1,7</w:t>
            </w:r>
          </w:p>
        </w:tc>
        <w:tc>
          <w:tcPr>
            <w:tcW w:w="480" w:type="pct"/>
            <w:vAlign w:val="center"/>
          </w:tcPr>
          <w:p w14:paraId="56C7A9AE" w14:textId="1B55AC4B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+9,0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44C559D8" w14:textId="0434FB96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+0,5</w:t>
            </w:r>
          </w:p>
        </w:tc>
        <w:tc>
          <w:tcPr>
            <w:tcW w:w="480" w:type="pct"/>
            <w:vAlign w:val="center"/>
          </w:tcPr>
          <w:p w14:paraId="621480F1" w14:textId="4355585A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+5,6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47A396B6" w14:textId="6E2E035A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+5,2</w:t>
            </w:r>
          </w:p>
        </w:tc>
        <w:tc>
          <w:tcPr>
            <w:tcW w:w="478" w:type="pct"/>
            <w:vAlign w:val="center"/>
          </w:tcPr>
          <w:p w14:paraId="69D992F1" w14:textId="75C6FB92" w:rsidR="00C762CB" w:rsidRPr="00B82694" w:rsidRDefault="00C762CB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+13,2</w:t>
            </w:r>
          </w:p>
        </w:tc>
      </w:tr>
    </w:tbl>
    <w:p w14:paraId="6BABA54F" w14:textId="77777777" w:rsidR="00C762CB" w:rsidRPr="00B82694" w:rsidRDefault="00C762CB" w:rsidP="00C762CB">
      <w:pPr>
        <w:pStyle w:val="Avots"/>
      </w:pPr>
      <w:r w:rsidRPr="00B82694">
        <w:t>Avots: Eurostat</w:t>
      </w:r>
    </w:p>
    <w:p w14:paraId="41B83E1E" w14:textId="5F85CADE" w:rsidR="00C762CB" w:rsidRPr="00B82694" w:rsidRDefault="00D21F05">
      <w:r w:rsidRPr="00B82694">
        <w:t>No Covid</w:t>
      </w:r>
      <w:r w:rsidRPr="00B82694">
        <w:noBreakHyphen/>
        <w:t>19 izraisītām sekām smagi cieta ne tikai Baltijas valstu tautsaimniecība, bet arī globālā ekonomika, kā rezultātā 2021. gada beigās</w:t>
      </w:r>
      <w:r w:rsidR="00BC31C6" w:rsidRPr="00B82694">
        <w:t>,</w:t>
      </w:r>
      <w:r w:rsidRPr="00B82694">
        <w:t xml:space="preserve"> </w:t>
      </w:r>
      <w:r w:rsidR="00001F5B" w:rsidRPr="00B82694">
        <w:t>samazinoties globālās ekonomikas izaugsmei</w:t>
      </w:r>
      <w:r w:rsidR="00BC31C6" w:rsidRPr="00B82694">
        <w:t>,</w:t>
      </w:r>
      <w:r w:rsidR="00001F5B" w:rsidRPr="00B82694">
        <w:t xml:space="preserve"> </w:t>
      </w:r>
      <w:r w:rsidRPr="00B82694">
        <w:t>sāka pieaugt cenas, palielinot stagflācijas iestāšanās riskus.</w:t>
      </w:r>
      <w:r w:rsidR="00386664" w:rsidRPr="00B82694">
        <w:t xml:space="preserve"> 2021. gada decembrī inflācija Igaunijā un Lietuvā pārsniedza 10 %, sasniedzot attiecīgi 12,0 % un 10,7 %, bet Latvijā </w:t>
      </w:r>
      <w:r w:rsidR="0057201C" w:rsidRPr="00B82694">
        <w:t xml:space="preserve">– </w:t>
      </w:r>
      <w:r w:rsidR="00386664" w:rsidRPr="00B82694">
        <w:t>7,9 % līmen</w:t>
      </w:r>
      <w:r w:rsidR="0057201C" w:rsidRPr="00B82694">
        <w:t>i</w:t>
      </w:r>
      <w:r w:rsidR="00386664" w:rsidRPr="00B82694">
        <w:t xml:space="preserve">.  </w:t>
      </w:r>
    </w:p>
    <w:p w14:paraId="7B449EFC" w14:textId="0B5C76A8" w:rsidR="00EF0731" w:rsidRPr="00B82694" w:rsidRDefault="00305D22">
      <w:r w:rsidRPr="00B82694">
        <w:t>2022. gadā epidemioloģiskā situācija Baltijas valstīs uzlabojās tik tālu, ka pirmajā pusgadā tika atcelti visi ar Covid</w:t>
      </w:r>
      <w:r w:rsidRPr="00B82694">
        <w:noBreakHyphen/>
        <w:t xml:space="preserve">19 saistītie ierobežojumi un Baltijas valstu tautsaimniecības, t.sk. ēdināšanas pakalpojumu nozare, varēja sākt atveseļoties. Taču </w:t>
      </w:r>
      <w:r w:rsidR="00F55A12" w:rsidRPr="00B82694">
        <w:t>2022. gada 24. februārī Krievijas Federācija uzsāka pilna mēroga militāro iebrukumu Ukrainā, kas izraisīja negatīvās sekas Pasaules ekonomikas un t.sk. Baltijas valstu ekonomikas attīstībai, cit</w:t>
      </w:r>
      <w:r w:rsidR="009660D2" w:rsidRPr="00B82694">
        <w:t>a</w:t>
      </w:r>
      <w:r w:rsidR="00F55A12" w:rsidRPr="00B82694">
        <w:t xml:space="preserve"> starpā izraisot cenu šoku enerģijas produktiem, tādā veidā papildus apgrūtinot ekonomisko attīstību. Ja 2022. gadā Latvijas un Lietuvas tautsaimniecībās bija vērojama ekonomiskā izaugsm</w:t>
      </w:r>
      <w:r w:rsidR="009660D2" w:rsidRPr="00B82694">
        <w:t>e</w:t>
      </w:r>
      <w:r w:rsidR="00F55A12" w:rsidRPr="00B82694">
        <w:t>, tad 2023. gadā visās Baltijas valstīs bija vērojama lejupslīde.</w:t>
      </w:r>
    </w:p>
    <w:p w14:paraId="700145E8" w14:textId="68C17915" w:rsidR="00EF0731" w:rsidRPr="00B82694" w:rsidRDefault="00EF0731" w:rsidP="00595C77">
      <w:pPr>
        <w:pStyle w:val="Tabulasnosaukums"/>
      </w:pPr>
      <w:r w:rsidRPr="00B82694">
        <w:t>3. tabula. Ekonomiskā situācija Baltijas valstīs, 2022.-2023.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968"/>
        <w:gridCol w:w="895"/>
        <w:gridCol w:w="896"/>
        <w:gridCol w:w="894"/>
        <w:gridCol w:w="896"/>
        <w:gridCol w:w="894"/>
        <w:gridCol w:w="892"/>
      </w:tblGrid>
      <w:tr w:rsidR="00EF0731" w:rsidRPr="00B82694" w14:paraId="7E0A2954" w14:textId="77777777" w:rsidTr="00100A37">
        <w:tc>
          <w:tcPr>
            <w:tcW w:w="212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BE3B8B5" w14:textId="77777777" w:rsidR="00EF0731" w:rsidRPr="00B82694" w:rsidRDefault="00EF0731" w:rsidP="00595C77">
            <w:pPr>
              <w:pStyle w:val="Tabletext"/>
              <w:keepNext/>
              <w:keepLines/>
              <w:rPr>
                <w:b/>
                <w:bCs/>
              </w:rPr>
            </w:pPr>
            <w:r w:rsidRPr="00B82694">
              <w:rPr>
                <w:b/>
                <w:bCs/>
              </w:rPr>
              <w:t>Statistikas rādītājs</w:t>
            </w:r>
          </w:p>
        </w:tc>
        <w:tc>
          <w:tcPr>
            <w:tcW w:w="959" w:type="pct"/>
            <w:gridSpan w:val="2"/>
            <w:tcMar>
              <w:left w:w="28" w:type="dxa"/>
              <w:right w:w="28" w:type="dxa"/>
            </w:tcMar>
            <w:vAlign w:val="center"/>
          </w:tcPr>
          <w:p w14:paraId="6A31F974" w14:textId="77777777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2694">
              <w:rPr>
                <w:b/>
                <w:bCs/>
              </w:rPr>
              <w:t>Igaunija</w:t>
            </w:r>
          </w:p>
        </w:tc>
        <w:tc>
          <w:tcPr>
            <w:tcW w:w="959" w:type="pct"/>
            <w:gridSpan w:val="2"/>
            <w:tcMar>
              <w:left w:w="28" w:type="dxa"/>
              <w:right w:w="28" w:type="dxa"/>
            </w:tcMar>
            <w:vAlign w:val="center"/>
          </w:tcPr>
          <w:p w14:paraId="1A3BC12B" w14:textId="77777777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2694">
              <w:rPr>
                <w:b/>
                <w:bCs/>
              </w:rPr>
              <w:t>Latvija</w:t>
            </w:r>
          </w:p>
        </w:tc>
        <w:tc>
          <w:tcPr>
            <w:tcW w:w="957" w:type="pct"/>
            <w:gridSpan w:val="2"/>
            <w:tcMar>
              <w:left w:w="28" w:type="dxa"/>
              <w:right w:w="28" w:type="dxa"/>
            </w:tcMar>
            <w:vAlign w:val="center"/>
          </w:tcPr>
          <w:p w14:paraId="016E42ED" w14:textId="77777777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2694">
              <w:rPr>
                <w:b/>
                <w:bCs/>
              </w:rPr>
              <w:t>Lietuva</w:t>
            </w:r>
          </w:p>
        </w:tc>
      </w:tr>
      <w:tr w:rsidR="00EF0731" w:rsidRPr="00B82694" w14:paraId="67F6B3C4" w14:textId="77777777" w:rsidTr="00100A37">
        <w:tc>
          <w:tcPr>
            <w:tcW w:w="2125" w:type="pct"/>
            <w:vMerge/>
            <w:tcMar>
              <w:left w:w="28" w:type="dxa"/>
              <w:right w:w="28" w:type="dxa"/>
            </w:tcMar>
            <w:vAlign w:val="center"/>
          </w:tcPr>
          <w:p w14:paraId="66E0744D" w14:textId="77777777" w:rsidR="00EF0731" w:rsidRPr="00B82694" w:rsidRDefault="00EF0731" w:rsidP="00595C77">
            <w:pPr>
              <w:pStyle w:val="Tabletext"/>
              <w:keepNext/>
              <w:keepLines/>
              <w:rPr>
                <w:b/>
                <w:bCs/>
              </w:rPr>
            </w:pP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4BDA8BDB" w14:textId="57ED488E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b/>
                <w:bCs/>
                <w:sz w:val="16"/>
                <w:szCs w:val="20"/>
              </w:rPr>
            </w:pPr>
            <w:r w:rsidRPr="00B82694">
              <w:rPr>
                <w:b/>
                <w:bCs/>
                <w:sz w:val="16"/>
                <w:szCs w:val="20"/>
              </w:rPr>
              <w:t>2022</w:t>
            </w:r>
          </w:p>
        </w:tc>
        <w:tc>
          <w:tcPr>
            <w:tcW w:w="480" w:type="pct"/>
            <w:vAlign w:val="center"/>
          </w:tcPr>
          <w:p w14:paraId="1A344141" w14:textId="7903B391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b/>
                <w:bCs/>
                <w:sz w:val="16"/>
                <w:szCs w:val="20"/>
              </w:rPr>
            </w:pPr>
            <w:r w:rsidRPr="00B82694">
              <w:rPr>
                <w:b/>
                <w:bCs/>
                <w:sz w:val="16"/>
                <w:szCs w:val="20"/>
              </w:rPr>
              <w:t>2023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61B81548" w14:textId="41242A88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b/>
                <w:bCs/>
                <w:sz w:val="16"/>
                <w:szCs w:val="20"/>
              </w:rPr>
            </w:pPr>
            <w:r w:rsidRPr="00B82694">
              <w:rPr>
                <w:b/>
                <w:bCs/>
                <w:sz w:val="16"/>
                <w:szCs w:val="20"/>
              </w:rPr>
              <w:t>2022</w:t>
            </w:r>
          </w:p>
        </w:tc>
        <w:tc>
          <w:tcPr>
            <w:tcW w:w="480" w:type="pct"/>
            <w:vAlign w:val="center"/>
          </w:tcPr>
          <w:p w14:paraId="6E154D9C" w14:textId="14BEBB23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b/>
                <w:bCs/>
                <w:sz w:val="16"/>
                <w:szCs w:val="20"/>
              </w:rPr>
            </w:pPr>
            <w:r w:rsidRPr="00B82694">
              <w:rPr>
                <w:b/>
                <w:bCs/>
                <w:sz w:val="16"/>
                <w:szCs w:val="20"/>
              </w:rPr>
              <w:t>2023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424F4D70" w14:textId="3B51AF95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b/>
                <w:bCs/>
                <w:sz w:val="16"/>
                <w:szCs w:val="20"/>
              </w:rPr>
            </w:pPr>
            <w:r w:rsidRPr="00B82694">
              <w:rPr>
                <w:b/>
                <w:bCs/>
                <w:sz w:val="16"/>
                <w:szCs w:val="20"/>
              </w:rPr>
              <w:t>2022</w:t>
            </w:r>
          </w:p>
        </w:tc>
        <w:tc>
          <w:tcPr>
            <w:tcW w:w="478" w:type="pct"/>
            <w:vAlign w:val="center"/>
          </w:tcPr>
          <w:p w14:paraId="775A8D96" w14:textId="21DA3D52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b/>
                <w:bCs/>
                <w:sz w:val="16"/>
                <w:szCs w:val="20"/>
              </w:rPr>
            </w:pPr>
            <w:r w:rsidRPr="00B82694">
              <w:rPr>
                <w:b/>
                <w:bCs/>
                <w:sz w:val="16"/>
                <w:szCs w:val="20"/>
              </w:rPr>
              <w:t>2023</w:t>
            </w:r>
          </w:p>
        </w:tc>
      </w:tr>
      <w:tr w:rsidR="00EF0731" w:rsidRPr="00B82694" w14:paraId="27DB630F" w14:textId="77777777" w:rsidTr="00100A37">
        <w:tc>
          <w:tcPr>
            <w:tcW w:w="2125" w:type="pct"/>
            <w:tcMar>
              <w:left w:w="28" w:type="dxa"/>
              <w:right w:w="28" w:type="dxa"/>
            </w:tcMar>
            <w:vAlign w:val="center"/>
          </w:tcPr>
          <w:p w14:paraId="7E5B6534" w14:textId="77777777" w:rsidR="00EF0731" w:rsidRPr="00B82694" w:rsidRDefault="00B82694" w:rsidP="00595C77">
            <w:pPr>
              <w:pStyle w:val="Tabletext"/>
              <w:keepNext/>
              <w:keepLines/>
            </w:pPr>
            <w:hyperlink r:id="rId18" w:history="1">
              <w:r w:rsidR="00EF0731" w:rsidRPr="00B82694">
                <w:rPr>
                  <w:rStyle w:val="Hyperlink"/>
                </w:rPr>
                <w:t>Reālais IKP</w:t>
              </w:r>
            </w:hyperlink>
            <w:r w:rsidR="00EF0731" w:rsidRPr="00B82694">
              <w:t>, gada pārmaiņas, %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13467786" w14:textId="768425D8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-0,5</w:t>
            </w:r>
          </w:p>
        </w:tc>
        <w:tc>
          <w:tcPr>
            <w:tcW w:w="480" w:type="pct"/>
            <w:vAlign w:val="center"/>
          </w:tcPr>
          <w:p w14:paraId="11641E6F" w14:textId="44B242C8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-3,0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48F03821" w14:textId="65C2E37B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+3,0</w:t>
            </w:r>
          </w:p>
        </w:tc>
        <w:tc>
          <w:tcPr>
            <w:tcW w:w="480" w:type="pct"/>
            <w:vAlign w:val="center"/>
          </w:tcPr>
          <w:p w14:paraId="42A61F7B" w14:textId="534B8DD3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-0,3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7A12952F" w14:textId="1FB3B779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+2,4</w:t>
            </w:r>
          </w:p>
        </w:tc>
        <w:tc>
          <w:tcPr>
            <w:tcW w:w="478" w:type="pct"/>
            <w:vAlign w:val="center"/>
          </w:tcPr>
          <w:p w14:paraId="35F234AB" w14:textId="16CB7CDE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-0,3</w:t>
            </w:r>
          </w:p>
        </w:tc>
      </w:tr>
      <w:tr w:rsidR="00EF0731" w:rsidRPr="00B82694" w14:paraId="600B2A0A" w14:textId="77777777" w:rsidTr="00100A37">
        <w:tc>
          <w:tcPr>
            <w:tcW w:w="2125" w:type="pct"/>
            <w:tcMar>
              <w:left w:w="28" w:type="dxa"/>
              <w:right w:w="28" w:type="dxa"/>
            </w:tcMar>
            <w:vAlign w:val="center"/>
          </w:tcPr>
          <w:p w14:paraId="2673EF3F" w14:textId="77777777" w:rsidR="00EF0731" w:rsidRPr="00B82694" w:rsidRDefault="00B82694" w:rsidP="00595C77">
            <w:pPr>
              <w:pStyle w:val="Tabletext"/>
              <w:keepNext/>
              <w:keepLines/>
            </w:pPr>
            <w:hyperlink r:id="rId19" w:history="1">
              <w:r w:rsidR="00EF0731" w:rsidRPr="00B82694">
                <w:rPr>
                  <w:rStyle w:val="Hyperlink"/>
                </w:rPr>
                <w:t>Bezdarbs</w:t>
              </w:r>
            </w:hyperlink>
            <w:r w:rsidR="00EF0731" w:rsidRPr="00B82694">
              <w:t>, %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48AE1196" w14:textId="4A96242A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5,6</w:t>
            </w:r>
          </w:p>
        </w:tc>
        <w:tc>
          <w:tcPr>
            <w:tcW w:w="480" w:type="pct"/>
            <w:vAlign w:val="center"/>
          </w:tcPr>
          <w:p w14:paraId="58E58F31" w14:textId="7730C9C0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6,4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79B3339F" w14:textId="0A135D18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6,9</w:t>
            </w:r>
          </w:p>
        </w:tc>
        <w:tc>
          <w:tcPr>
            <w:tcW w:w="480" w:type="pct"/>
            <w:vAlign w:val="center"/>
          </w:tcPr>
          <w:p w14:paraId="6AD05F62" w14:textId="0CC4634A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6,5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56E81FEC" w14:textId="16EFC7BE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6,0</w:t>
            </w:r>
          </w:p>
        </w:tc>
        <w:tc>
          <w:tcPr>
            <w:tcW w:w="478" w:type="pct"/>
            <w:vAlign w:val="center"/>
          </w:tcPr>
          <w:p w14:paraId="221D7B2D" w14:textId="133F6F76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6,9</w:t>
            </w:r>
          </w:p>
        </w:tc>
      </w:tr>
      <w:tr w:rsidR="00EF0731" w:rsidRPr="00B82694" w14:paraId="5898E4B4" w14:textId="77777777" w:rsidTr="00100A37">
        <w:tc>
          <w:tcPr>
            <w:tcW w:w="2125" w:type="pct"/>
            <w:tcMar>
              <w:left w:w="28" w:type="dxa"/>
              <w:right w:w="28" w:type="dxa"/>
            </w:tcMar>
            <w:vAlign w:val="center"/>
          </w:tcPr>
          <w:p w14:paraId="2758A06B" w14:textId="77777777" w:rsidR="00EF0731" w:rsidRPr="00B82694" w:rsidRDefault="00B82694" w:rsidP="00595C77">
            <w:pPr>
              <w:pStyle w:val="Tabletext"/>
              <w:keepNext/>
              <w:keepLines/>
            </w:pPr>
            <w:hyperlink r:id="rId20" w:history="1">
              <w:r w:rsidR="00EF0731" w:rsidRPr="00B82694">
                <w:rPr>
                  <w:rStyle w:val="Hyperlink"/>
                </w:rPr>
                <w:t>Patēriņa cenas</w:t>
              </w:r>
            </w:hyperlink>
            <w:r w:rsidR="00EF0731" w:rsidRPr="00B82694">
              <w:t>, gada pārmaiņas, %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0E0EFA19" w14:textId="0535EE45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+19,4</w:t>
            </w:r>
          </w:p>
        </w:tc>
        <w:tc>
          <w:tcPr>
            <w:tcW w:w="480" w:type="pct"/>
            <w:vAlign w:val="center"/>
          </w:tcPr>
          <w:p w14:paraId="6F9D40A9" w14:textId="01028A10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+9,1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7EC67A58" w14:textId="597735BE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+17,2</w:t>
            </w:r>
          </w:p>
        </w:tc>
        <w:tc>
          <w:tcPr>
            <w:tcW w:w="480" w:type="pct"/>
            <w:vAlign w:val="center"/>
          </w:tcPr>
          <w:p w14:paraId="1F5071FD" w14:textId="4D55A120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+9,1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6C31BFAA" w14:textId="69132B87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+18,9</w:t>
            </w:r>
          </w:p>
        </w:tc>
        <w:tc>
          <w:tcPr>
            <w:tcW w:w="478" w:type="pct"/>
            <w:vAlign w:val="center"/>
          </w:tcPr>
          <w:p w14:paraId="4B92C4E8" w14:textId="1F79D142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+8,7</w:t>
            </w:r>
          </w:p>
        </w:tc>
      </w:tr>
      <w:tr w:rsidR="00EF0731" w:rsidRPr="00B82694" w14:paraId="4E3DCA0F" w14:textId="77777777" w:rsidTr="00100A37">
        <w:tc>
          <w:tcPr>
            <w:tcW w:w="2125" w:type="pct"/>
            <w:tcMar>
              <w:left w:w="28" w:type="dxa"/>
              <w:right w:w="28" w:type="dxa"/>
            </w:tcMar>
            <w:vAlign w:val="center"/>
          </w:tcPr>
          <w:p w14:paraId="7C8AA0DB" w14:textId="77777777" w:rsidR="00EF0731" w:rsidRPr="00B82694" w:rsidRDefault="00B82694" w:rsidP="00595C77">
            <w:pPr>
              <w:pStyle w:val="Tabletext"/>
              <w:keepNext/>
              <w:keepLines/>
            </w:pPr>
            <w:hyperlink r:id="rId21" w:history="1">
              <w:r w:rsidR="00EF0731" w:rsidRPr="00B82694">
                <w:rPr>
                  <w:rStyle w:val="Hyperlink"/>
                </w:rPr>
                <w:t>Darbinieku atalgojums</w:t>
              </w:r>
            </w:hyperlink>
            <w:r w:rsidR="00EF0731" w:rsidRPr="00B82694">
              <w:t>, gada pārmaiņas, %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6D49FF18" w14:textId="372F5EC3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+13,7</w:t>
            </w:r>
          </w:p>
        </w:tc>
        <w:tc>
          <w:tcPr>
            <w:tcW w:w="480" w:type="pct"/>
            <w:vAlign w:val="center"/>
          </w:tcPr>
          <w:p w14:paraId="4ACC4091" w14:textId="6FC05533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+10,3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18D5D677" w14:textId="360E34C9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+14,8</w:t>
            </w:r>
          </w:p>
        </w:tc>
        <w:tc>
          <w:tcPr>
            <w:tcW w:w="480" w:type="pct"/>
            <w:vAlign w:val="center"/>
          </w:tcPr>
          <w:p w14:paraId="5E915A43" w14:textId="6BE7EC79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+12,7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14:paraId="09409DAD" w14:textId="5323D61E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+16,3</w:t>
            </w:r>
          </w:p>
        </w:tc>
        <w:tc>
          <w:tcPr>
            <w:tcW w:w="478" w:type="pct"/>
            <w:vAlign w:val="center"/>
          </w:tcPr>
          <w:p w14:paraId="0EEDA774" w14:textId="0C5C0430" w:rsidR="00EF0731" w:rsidRPr="00B82694" w:rsidRDefault="00EF0731" w:rsidP="00595C77">
            <w:pPr>
              <w:pStyle w:val="Tabletext"/>
              <w:keepNext/>
              <w:keepLines/>
              <w:jc w:val="center"/>
              <w:rPr>
                <w:sz w:val="16"/>
                <w:szCs w:val="20"/>
              </w:rPr>
            </w:pPr>
            <w:r w:rsidRPr="00B82694">
              <w:rPr>
                <w:sz w:val="16"/>
                <w:szCs w:val="20"/>
              </w:rPr>
              <w:t>+12,3</w:t>
            </w:r>
          </w:p>
        </w:tc>
      </w:tr>
    </w:tbl>
    <w:p w14:paraId="337D6EC7" w14:textId="77777777" w:rsidR="00EF0731" w:rsidRPr="00B82694" w:rsidRDefault="00EF0731" w:rsidP="00EF0731">
      <w:pPr>
        <w:pStyle w:val="Avots"/>
      </w:pPr>
      <w:r w:rsidRPr="00B82694">
        <w:t>Avots: Eurostat</w:t>
      </w:r>
    </w:p>
    <w:p w14:paraId="5AFB2683" w14:textId="2908BD85" w:rsidR="00EF0731" w:rsidRPr="00B82694" w:rsidRDefault="00547C78">
      <w:r w:rsidRPr="00B82694">
        <w:t xml:space="preserve">Neskatoties uz nelabvēlīgo ekonomisko un ģeopolitisko situāciju, ēdināšanas pakalpojumu nozare Baltijas valstīs </w:t>
      </w:r>
      <w:r w:rsidR="006317C4" w:rsidRPr="00B82694">
        <w:t>spēja ātri atkopties no Covid</w:t>
      </w:r>
      <w:r w:rsidR="006317C4" w:rsidRPr="00B82694">
        <w:noBreakHyphen/>
        <w:t>19 pandēmijas negatīvajām sekām.</w:t>
      </w:r>
      <w:r w:rsidR="00AA796A" w:rsidRPr="00B82694">
        <w:t xml:space="preserve"> Divu gadu laikā (no </w:t>
      </w:r>
      <w:r w:rsidR="00AA796A" w:rsidRPr="00B82694">
        <w:lastRenderedPageBreak/>
        <w:t xml:space="preserve">2021. gada līdz 2023. gadam) nozare uzrādīja strauju izaugsmi, tās apgrozījumam pieaugot Igaunijā par </w:t>
      </w:r>
      <w:r w:rsidR="004F74BA" w:rsidRPr="00B82694">
        <w:t xml:space="preserve">70,7 %, Latvijā par 128,1 % un Lietuvā par 87,8 procentiem. Neskatoties uz augstu inflācijas līmeni tautsaimniecībās, </w:t>
      </w:r>
      <w:r w:rsidR="003104C5" w:rsidRPr="00B82694">
        <w:t>ēdināšanas pakalpojumu cenu piegums bija mērenāks, bet izaugsme straujāka. Tā, piem., Latvijas ēdināšanas nozares apgrozījums 2023. gadā</w:t>
      </w:r>
      <w:r w:rsidR="003210D0" w:rsidRPr="00B82694">
        <w:t>,</w:t>
      </w:r>
      <w:r w:rsidR="003104C5" w:rsidRPr="00B82694">
        <w:t xml:space="preserve"> salīdzinājumā ar 2019. gadu</w:t>
      </w:r>
      <w:r w:rsidR="003210D0" w:rsidRPr="00B82694">
        <w:t>,</w:t>
      </w:r>
      <w:r w:rsidR="003104C5" w:rsidRPr="00B82694">
        <w:t xml:space="preserve"> bija par 52,4 % lielāks, bet cenu līmenis tajā pašā periodā vidēji palielināj</w:t>
      </w:r>
      <w:r w:rsidR="00496F43" w:rsidRPr="00B82694">
        <w:t>ā</w:t>
      </w:r>
      <w:r w:rsidR="003104C5" w:rsidRPr="00B82694">
        <w:t>s par 33,0 %, tādējādi liecinot par būtisku nozares reālo izaugsmi pēc Covid</w:t>
      </w:r>
      <w:r w:rsidR="003104C5" w:rsidRPr="00B82694">
        <w:noBreakHyphen/>
        <w:t>19 pandēmijas periodā (skat. 3. un 4. att</w:t>
      </w:r>
      <w:r w:rsidR="00C57C31" w:rsidRPr="00B82694">
        <w:t>.</w:t>
      </w:r>
      <w:r w:rsidR="003104C5" w:rsidRPr="00B82694">
        <w:t>).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751"/>
      </w:tblGrid>
      <w:tr w:rsidR="00B811E8" w:rsidRPr="00B82694" w14:paraId="4B8BC5D4" w14:textId="77777777" w:rsidTr="003210D0">
        <w:trPr>
          <w:trHeight w:val="20"/>
        </w:trPr>
        <w:tc>
          <w:tcPr>
            <w:tcW w:w="2460" w:type="pct"/>
            <w:tcMar>
              <w:left w:w="0" w:type="dxa"/>
              <w:right w:w="0" w:type="dxa"/>
            </w:tcMar>
          </w:tcPr>
          <w:p w14:paraId="679D4CEC" w14:textId="7FB34D01" w:rsidR="00B811E8" w:rsidRPr="00B82694" w:rsidRDefault="00B811E8" w:rsidP="00B811E8">
            <w:pPr>
              <w:pStyle w:val="Attlanosaukums"/>
            </w:pPr>
            <w:r w:rsidRPr="00B82694">
              <w:t>3. attēls. Ēdināšanas pakalpojumu nozares apgrozījums</w:t>
            </w:r>
          </w:p>
          <w:p w14:paraId="507E9F89" w14:textId="46A2E330" w:rsidR="00B811E8" w:rsidRPr="00B82694" w:rsidRDefault="00B811E8" w:rsidP="006317C4">
            <w:pPr>
              <w:pStyle w:val="Attlanosaukums"/>
            </w:pPr>
          </w:p>
        </w:tc>
        <w:tc>
          <w:tcPr>
            <w:tcW w:w="2540" w:type="pct"/>
          </w:tcPr>
          <w:p w14:paraId="7D8AA93F" w14:textId="1C9E1D9F" w:rsidR="00B811E8" w:rsidRPr="00B82694" w:rsidRDefault="00B811E8" w:rsidP="00B811E8">
            <w:pPr>
              <w:pStyle w:val="Attlanosaukums"/>
            </w:pPr>
            <w:r w:rsidRPr="00B82694">
              <w:t>4. attēls. Ēdināšanas pakalpojumu cenas</w:t>
            </w:r>
          </w:p>
        </w:tc>
      </w:tr>
      <w:tr w:rsidR="00B811E8" w:rsidRPr="00B82694" w14:paraId="7733FCB4" w14:textId="77777777" w:rsidTr="003210D0">
        <w:trPr>
          <w:trHeight w:val="20"/>
        </w:trPr>
        <w:tc>
          <w:tcPr>
            <w:tcW w:w="2460" w:type="pct"/>
            <w:tcMar>
              <w:left w:w="0" w:type="dxa"/>
              <w:right w:w="0" w:type="dxa"/>
            </w:tcMar>
          </w:tcPr>
          <w:p w14:paraId="4194D613" w14:textId="1AC8F0AE" w:rsidR="00B811E8" w:rsidRPr="00B82694" w:rsidRDefault="00B811E8" w:rsidP="006317C4">
            <w:pPr>
              <w:pStyle w:val="Attlanosaukums"/>
            </w:pPr>
            <w:r w:rsidRPr="00B82694">
              <w:rPr>
                <w:noProof/>
              </w:rPr>
              <w:drawing>
                <wp:inline distT="0" distB="0" distL="0" distR="0" wp14:anchorId="29C5F9FC" wp14:editId="2B1409EC">
                  <wp:extent cx="2952000" cy="1800000"/>
                  <wp:effectExtent l="0" t="0" r="1270" b="0"/>
                  <wp:docPr id="45713777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2540" w:type="pct"/>
          </w:tcPr>
          <w:p w14:paraId="560E21D0" w14:textId="23D38812" w:rsidR="00B811E8" w:rsidRPr="00B82694" w:rsidRDefault="00B811E8" w:rsidP="00B811E8">
            <w:pPr>
              <w:pStyle w:val="Attlanosaukums"/>
              <w:ind w:left="-69"/>
            </w:pPr>
            <w:r w:rsidRPr="00B82694">
              <w:rPr>
                <w:noProof/>
              </w:rPr>
              <w:drawing>
                <wp:inline distT="0" distB="0" distL="0" distR="0" wp14:anchorId="0517E579" wp14:editId="00CAF8A6">
                  <wp:extent cx="2952000" cy="1800000"/>
                  <wp:effectExtent l="0" t="0" r="1270" b="0"/>
                  <wp:docPr id="181806843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B811E8" w:rsidRPr="00B82694" w14:paraId="64620B34" w14:textId="77777777" w:rsidTr="003210D0">
        <w:trPr>
          <w:trHeight w:val="20"/>
        </w:trPr>
        <w:tc>
          <w:tcPr>
            <w:tcW w:w="2460" w:type="pct"/>
            <w:tcMar>
              <w:left w:w="0" w:type="dxa"/>
              <w:right w:w="0" w:type="dxa"/>
            </w:tcMar>
          </w:tcPr>
          <w:p w14:paraId="0B7C4EB0" w14:textId="09D759D8" w:rsidR="00B811E8" w:rsidRPr="00B82694" w:rsidRDefault="00B811E8" w:rsidP="00B811E8">
            <w:pPr>
              <w:pStyle w:val="Avots"/>
            </w:pPr>
            <w:r w:rsidRPr="00B82694">
              <w:t>Avots: Eurostat</w:t>
            </w:r>
          </w:p>
        </w:tc>
        <w:tc>
          <w:tcPr>
            <w:tcW w:w="2540" w:type="pct"/>
          </w:tcPr>
          <w:p w14:paraId="207284EC" w14:textId="50C29693" w:rsidR="00B811E8" w:rsidRPr="00B82694" w:rsidRDefault="00B811E8" w:rsidP="00B811E8">
            <w:pPr>
              <w:pStyle w:val="Avots"/>
              <w:ind w:left="-69"/>
            </w:pPr>
            <w:r w:rsidRPr="00B82694">
              <w:t>Avots: Eurostat</w:t>
            </w:r>
          </w:p>
        </w:tc>
      </w:tr>
    </w:tbl>
    <w:p w14:paraId="065749F0" w14:textId="706C0F57" w:rsidR="00B86853" w:rsidRPr="00B82694" w:rsidRDefault="003210D0">
      <w:r w:rsidRPr="00B82694">
        <w:t xml:space="preserve">2021. gadā </w:t>
      </w:r>
      <w:r w:rsidR="00B86853" w:rsidRPr="00B82694">
        <w:t>Lietuvas valdība no Covid</w:t>
      </w:r>
      <w:r w:rsidR="00B86853" w:rsidRPr="00B82694">
        <w:noBreakHyphen/>
        <w:t>19 pandēmijas īpaši cietušajām nozarēm – ēdināšana</w:t>
      </w:r>
      <w:r w:rsidR="009618BA" w:rsidRPr="00B82694">
        <w:t>i</w:t>
      </w:r>
      <w:r w:rsidR="00B86853" w:rsidRPr="00B82694">
        <w:t>, kultūra</w:t>
      </w:r>
      <w:r w:rsidR="009618BA" w:rsidRPr="00B82694">
        <w:t>i</w:t>
      </w:r>
      <w:r w:rsidR="00B86853" w:rsidRPr="00B82694">
        <w:t xml:space="preserve"> un sport</w:t>
      </w:r>
      <w:r w:rsidR="009618BA" w:rsidRPr="00B82694">
        <w:t>am</w:t>
      </w:r>
      <w:r w:rsidR="00F214AC" w:rsidRPr="00B82694">
        <w:t xml:space="preserve"> </w:t>
      </w:r>
      <w:r w:rsidR="00B86853" w:rsidRPr="00B82694">
        <w:t>–</w:t>
      </w:r>
      <w:r w:rsidR="004F3732" w:rsidRPr="00B82694">
        <w:t xml:space="preserve"> </w:t>
      </w:r>
      <w:r w:rsidR="00B86853" w:rsidRPr="00B82694">
        <w:t>uz noteiktu laiku ieviesa PVN samazināto likmi 9 % apmērā</w:t>
      </w:r>
      <w:r w:rsidR="004F3732" w:rsidRPr="00B82694">
        <w:t xml:space="preserve"> (spēkā no 01.07.2021.</w:t>
      </w:r>
      <w:r w:rsidR="00530588" w:rsidRPr="00B82694">
        <w:t xml:space="preserve">, </w:t>
      </w:r>
      <w:hyperlink r:id="rId24" w:history="1">
        <w:r w:rsidR="00530588" w:rsidRPr="00B82694">
          <w:rPr>
            <w:rStyle w:val="Hyperlink"/>
          </w:rPr>
          <w:t>saite</w:t>
        </w:r>
      </w:hyperlink>
      <w:r w:rsidR="004F3732" w:rsidRPr="00B82694">
        <w:t>)</w:t>
      </w:r>
      <w:r w:rsidR="00B86853" w:rsidRPr="00B82694">
        <w:t xml:space="preserve">. Ēdināšanas pakalpojumiem </w:t>
      </w:r>
      <w:r w:rsidR="004B49DC" w:rsidRPr="00B82694">
        <w:t xml:space="preserve">(izņemot alkoholisko dzērienus) </w:t>
      </w:r>
      <w:r w:rsidR="00B86853" w:rsidRPr="00B82694">
        <w:t>minētā PVN samazinātā likme bija spē</w:t>
      </w:r>
      <w:r w:rsidRPr="00B82694">
        <w:t>kā</w:t>
      </w:r>
      <w:r w:rsidR="00B86853" w:rsidRPr="00B82694">
        <w:t xml:space="preserve"> līdz 2023. gada beigām.</w:t>
      </w:r>
    </w:p>
    <w:p w14:paraId="4AF8087A" w14:textId="638E9561" w:rsidR="001538E4" w:rsidRPr="00B82694" w:rsidRDefault="004F3732" w:rsidP="001538E4">
      <w:pPr>
        <w:pStyle w:val="Attlanosaukums"/>
      </w:pPr>
      <w:r w:rsidRPr="00B82694">
        <w:t>5</w:t>
      </w:r>
      <w:r w:rsidR="001538E4" w:rsidRPr="00B82694">
        <w:t>. attēls. Ēdināšanas pakalpojumu cenas</w:t>
      </w:r>
    </w:p>
    <w:p w14:paraId="286A139A" w14:textId="77777777" w:rsidR="001538E4" w:rsidRPr="00B82694" w:rsidRDefault="001538E4" w:rsidP="001538E4">
      <w:pPr>
        <w:pStyle w:val="Attls"/>
      </w:pPr>
      <w:r w:rsidRPr="00B82694">
        <w:drawing>
          <wp:inline distT="0" distB="0" distL="0" distR="0" wp14:anchorId="048DB682" wp14:editId="79A33A9B">
            <wp:extent cx="5939942" cy="1800000"/>
            <wp:effectExtent l="0" t="0" r="3810" b="0"/>
            <wp:docPr id="80835387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87ED3BD" w14:textId="77777777" w:rsidR="001538E4" w:rsidRPr="00B82694" w:rsidRDefault="001538E4" w:rsidP="001538E4">
      <w:pPr>
        <w:pStyle w:val="Avots"/>
      </w:pPr>
      <w:r w:rsidRPr="00B82694">
        <w:t>Avots: Eurostat</w:t>
      </w:r>
    </w:p>
    <w:p w14:paraId="14D13D36" w14:textId="0E7F5640" w:rsidR="00B86853" w:rsidRPr="00B82694" w:rsidRDefault="00D11A00">
      <w:r w:rsidRPr="00B82694">
        <w:t xml:space="preserve">Kā var redzēt no 5. attēla, </w:t>
      </w:r>
      <w:r w:rsidR="003210D0" w:rsidRPr="00B82694">
        <w:t xml:space="preserve">PVN likmes samazināšanas rezultātā </w:t>
      </w:r>
      <w:r w:rsidR="007601E7" w:rsidRPr="00B82694">
        <w:t xml:space="preserve">2021. gada otrajā pusgadā nav vērojama uzskatāma </w:t>
      </w:r>
      <w:r w:rsidR="0028186E" w:rsidRPr="00B82694">
        <w:t xml:space="preserve">negatīva </w:t>
      </w:r>
      <w:r w:rsidR="007601E7" w:rsidRPr="00B82694">
        <w:t xml:space="preserve">ietekme uz Lietuvas ēdināšanas pakalpojumu </w:t>
      </w:r>
      <w:r w:rsidR="0028186E" w:rsidRPr="00B82694">
        <w:t>inflācijas</w:t>
      </w:r>
      <w:r w:rsidR="007601E7" w:rsidRPr="00B82694">
        <w:t xml:space="preserve"> dinamiku</w:t>
      </w:r>
      <w:r w:rsidR="00EF13F4" w:rsidRPr="00B82694">
        <w:t xml:space="preserve">, līdz ar to nevarēju būt arī </w:t>
      </w:r>
      <w:r w:rsidR="0028186E" w:rsidRPr="00B82694">
        <w:t>ievērojamas pozitīvas ietekmes uz pieprasījumu pēc ēdināšanas pakalpojumiem</w:t>
      </w:r>
      <w:r w:rsidR="007601E7" w:rsidRPr="00B82694">
        <w:t xml:space="preserve">. Cita situācija vērojama 2024. gadā, kad </w:t>
      </w:r>
      <w:r w:rsidR="004B49DC" w:rsidRPr="00B82694">
        <w:t xml:space="preserve">ēdināšanas pakalpojumiem atkal sāka piemērot PVN standartlikmi. Igaunijā, kur PVN standartlikme no 01.01.2024. tika </w:t>
      </w:r>
      <w:r w:rsidR="003210D0" w:rsidRPr="00B82694">
        <w:t>pa</w:t>
      </w:r>
      <w:r w:rsidR="004B49DC" w:rsidRPr="00B82694">
        <w:t xml:space="preserve">celta par </w:t>
      </w:r>
      <w:r w:rsidR="002A0AFA" w:rsidRPr="00B82694">
        <w:t>2</w:t>
      </w:r>
      <w:r w:rsidR="004B49DC" w:rsidRPr="00B82694">
        <w:t xml:space="preserve"> procentpunkt</w:t>
      </w:r>
      <w:r w:rsidR="009104A3" w:rsidRPr="00B82694">
        <w:t>iem</w:t>
      </w:r>
      <w:r w:rsidR="004B49DC" w:rsidRPr="00B82694">
        <w:t xml:space="preserve">, arī vērojama augšupvērsta ietekme uz inflāciju nozarē. </w:t>
      </w:r>
      <w:r w:rsidR="009104A3" w:rsidRPr="00B82694">
        <w:t>Savukārt Latvijā ēdināšanas pakalpojumu nozarē 2024. gadā vērojama stabila cen</w:t>
      </w:r>
      <w:r w:rsidR="003210D0" w:rsidRPr="00B82694">
        <w:t>u</w:t>
      </w:r>
      <w:r w:rsidR="009104A3" w:rsidRPr="00B82694">
        <w:t xml:space="preserve"> pieauguma tempa samazināšanās.</w:t>
      </w:r>
    </w:p>
    <w:p w14:paraId="01198460" w14:textId="04A300A8" w:rsidR="001538E4" w:rsidRPr="00B82694" w:rsidRDefault="004B49DC">
      <w:r w:rsidRPr="00B82694">
        <w:t xml:space="preserve">Neapšaubāmi, lai </w:t>
      </w:r>
      <w:r w:rsidR="002F5AAF" w:rsidRPr="00B82694">
        <w:t xml:space="preserve">būtu iespējams </w:t>
      </w:r>
      <w:r w:rsidRPr="00B82694">
        <w:t xml:space="preserve">ar pārliecību secināt, ka minētas tendences bija saistītas ar izmaiņām PVN likmēs un cik lielā mērā, ir nepieciešama padziļināta </w:t>
      </w:r>
      <w:r w:rsidR="0092007E" w:rsidRPr="00B82694">
        <w:t xml:space="preserve">ekonometriskā </w:t>
      </w:r>
      <w:r w:rsidRPr="00B82694">
        <w:t xml:space="preserve">izpēte, jo PVN likme nav vienīgais faktors, kas ietekmē inflācijas dinamiku. Taču nevar noliegt, ka Lietuvas </w:t>
      </w:r>
      <w:r w:rsidRPr="00B82694">
        <w:lastRenderedPageBreak/>
        <w:t>ēdināšanas pakalpojumu nozares pārstāvji izmantoja PVN likmes samazināšanu kā iespēju uzlabot savu un savu uzņēmumu finansiālo stāvokli</w:t>
      </w:r>
      <w:r w:rsidR="0092007E" w:rsidRPr="00B82694">
        <w:t xml:space="preserve">, </w:t>
      </w:r>
      <w:r w:rsidR="003A0A62" w:rsidRPr="00B82694">
        <w:t>par ko tiek diskutēts</w:t>
      </w:r>
      <w:r w:rsidR="0092007E" w:rsidRPr="00B82694">
        <w:t xml:space="preserve"> nākamajā sadaļā</w:t>
      </w:r>
      <w:r w:rsidRPr="00B82694">
        <w:t xml:space="preserve">. </w:t>
      </w:r>
    </w:p>
    <w:p w14:paraId="728FEC1B" w14:textId="4E2DB9B6" w:rsidR="006317C4" w:rsidRPr="00B82694" w:rsidRDefault="00664610" w:rsidP="00664610">
      <w:pPr>
        <w:pStyle w:val="Heading1"/>
      </w:pPr>
      <w:r w:rsidRPr="00B82694">
        <w:t>Uzņēmumu f</w:t>
      </w:r>
      <w:r w:rsidR="0081792B" w:rsidRPr="00B82694">
        <w:t>inan</w:t>
      </w:r>
      <w:r w:rsidR="00B17DFF" w:rsidRPr="00B82694">
        <w:t>šu rādītāji</w:t>
      </w:r>
    </w:p>
    <w:tbl>
      <w:tblPr>
        <w:tblStyle w:val="TableGrid"/>
        <w:tblpPr w:leftFromText="180" w:rightFromText="180" w:vertAnchor="text" w:horzAnchor="margin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</w:tblGrid>
      <w:tr w:rsidR="00295635" w:rsidRPr="00B82694" w14:paraId="0E09CEBE" w14:textId="77777777" w:rsidTr="00295635">
        <w:trPr>
          <w:trHeight w:val="20"/>
        </w:trPr>
        <w:tc>
          <w:tcPr>
            <w:tcW w:w="4672" w:type="dxa"/>
            <w:tcMar>
              <w:left w:w="0" w:type="dxa"/>
              <w:right w:w="0" w:type="dxa"/>
            </w:tcMar>
          </w:tcPr>
          <w:p w14:paraId="0D47941D" w14:textId="77777777" w:rsidR="00295635" w:rsidRPr="00B82694" w:rsidRDefault="00295635" w:rsidP="00295635">
            <w:pPr>
              <w:pStyle w:val="Attlanosaukums"/>
            </w:pPr>
            <w:r w:rsidRPr="00B82694">
              <w:t>6. attēls. Ēdināšanas pakalpojumu nozares neto peļņa</w:t>
            </w:r>
          </w:p>
        </w:tc>
      </w:tr>
      <w:tr w:rsidR="00295635" w:rsidRPr="00B82694" w14:paraId="08AB0E17" w14:textId="77777777" w:rsidTr="00295635">
        <w:trPr>
          <w:trHeight w:val="20"/>
        </w:trPr>
        <w:tc>
          <w:tcPr>
            <w:tcW w:w="4672" w:type="dxa"/>
            <w:tcMar>
              <w:left w:w="0" w:type="dxa"/>
              <w:right w:w="0" w:type="dxa"/>
            </w:tcMar>
          </w:tcPr>
          <w:p w14:paraId="294CF6F6" w14:textId="77777777" w:rsidR="00295635" w:rsidRPr="00B82694" w:rsidRDefault="00295635" w:rsidP="00295635">
            <w:pPr>
              <w:pStyle w:val="Tabletext"/>
            </w:pPr>
            <w:r w:rsidRPr="00B82694">
              <w:rPr>
                <w:noProof/>
              </w:rPr>
              <w:drawing>
                <wp:inline distT="0" distB="0" distL="0" distR="0" wp14:anchorId="0601C7C5" wp14:editId="0D59822C">
                  <wp:extent cx="2952000" cy="2160000"/>
                  <wp:effectExtent l="0" t="0" r="1270" b="0"/>
                  <wp:docPr id="1749839097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295635" w:rsidRPr="00B82694" w14:paraId="623A08DF" w14:textId="77777777" w:rsidTr="00295635">
        <w:trPr>
          <w:trHeight w:val="20"/>
        </w:trPr>
        <w:tc>
          <w:tcPr>
            <w:tcW w:w="4672" w:type="dxa"/>
            <w:tcMar>
              <w:left w:w="0" w:type="dxa"/>
              <w:right w:w="0" w:type="dxa"/>
            </w:tcMar>
          </w:tcPr>
          <w:p w14:paraId="25485037" w14:textId="77777777" w:rsidR="00295635" w:rsidRPr="00B82694" w:rsidRDefault="00295635" w:rsidP="00295635">
            <w:pPr>
              <w:pStyle w:val="Avots"/>
            </w:pPr>
            <w:r w:rsidRPr="00B82694">
              <w:t xml:space="preserve">Avots: </w:t>
            </w:r>
            <w:hyperlink r:id="rId27" w:history="1">
              <w:r w:rsidRPr="00B82694">
                <w:rPr>
                  <w:rStyle w:val="Hyperlink"/>
                </w:rPr>
                <w:t>Igaunijas</w:t>
              </w:r>
            </w:hyperlink>
            <w:r w:rsidRPr="00B82694">
              <w:t xml:space="preserve">, </w:t>
            </w:r>
            <w:hyperlink r:id="rId28" w:history="1">
              <w:r w:rsidRPr="00B82694">
                <w:rPr>
                  <w:rStyle w:val="Hyperlink"/>
                </w:rPr>
                <w:t>Latvijas</w:t>
              </w:r>
            </w:hyperlink>
            <w:r w:rsidRPr="00B82694">
              <w:t xml:space="preserve"> un </w:t>
            </w:r>
            <w:hyperlink r:id="rId29" w:history="1">
              <w:r w:rsidRPr="00B82694">
                <w:rPr>
                  <w:rStyle w:val="Hyperlink"/>
                </w:rPr>
                <w:t>Lietuvas</w:t>
              </w:r>
            </w:hyperlink>
            <w:r w:rsidRPr="00B82694">
              <w:t xml:space="preserve"> statistikas pārvaldes dati</w:t>
            </w:r>
          </w:p>
        </w:tc>
      </w:tr>
      <w:tr w:rsidR="00295635" w:rsidRPr="00B82694" w14:paraId="4CF905EA" w14:textId="77777777" w:rsidTr="00295635">
        <w:trPr>
          <w:trHeight w:val="20"/>
        </w:trPr>
        <w:tc>
          <w:tcPr>
            <w:tcW w:w="4672" w:type="dxa"/>
            <w:tcMar>
              <w:left w:w="0" w:type="dxa"/>
              <w:right w:w="0" w:type="dxa"/>
            </w:tcMar>
          </w:tcPr>
          <w:p w14:paraId="67734A5F" w14:textId="77777777" w:rsidR="00295635" w:rsidRPr="00B82694" w:rsidRDefault="00295635" w:rsidP="00295635">
            <w:pPr>
              <w:pStyle w:val="Attlanosaukums"/>
            </w:pPr>
            <w:r w:rsidRPr="00B82694">
              <w:t>7. attēls. Ēdināšanas pakalpojumu nozares   komerciālā rentabilitāte pēc nodokļiem</w:t>
            </w:r>
          </w:p>
        </w:tc>
      </w:tr>
      <w:tr w:rsidR="00295635" w:rsidRPr="00B82694" w14:paraId="1998DBC0" w14:textId="77777777" w:rsidTr="00295635">
        <w:trPr>
          <w:trHeight w:val="20"/>
        </w:trPr>
        <w:tc>
          <w:tcPr>
            <w:tcW w:w="4672" w:type="dxa"/>
            <w:tcMar>
              <w:left w:w="0" w:type="dxa"/>
              <w:right w:w="0" w:type="dxa"/>
            </w:tcMar>
          </w:tcPr>
          <w:p w14:paraId="0864AEF6" w14:textId="77777777" w:rsidR="00295635" w:rsidRPr="00B82694" w:rsidRDefault="00295635" w:rsidP="00295635">
            <w:pPr>
              <w:pStyle w:val="Attlanosaukums"/>
            </w:pPr>
            <w:r w:rsidRPr="00B82694">
              <w:rPr>
                <w:noProof/>
              </w:rPr>
              <w:drawing>
                <wp:inline distT="0" distB="0" distL="0" distR="0" wp14:anchorId="3DE38EE7" wp14:editId="5DEE013E">
                  <wp:extent cx="2952000" cy="1800000"/>
                  <wp:effectExtent l="0" t="0" r="1270" b="0"/>
                  <wp:docPr id="81633478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  <w:tr w:rsidR="00295635" w:rsidRPr="00B82694" w14:paraId="7B7B8BF6" w14:textId="77777777" w:rsidTr="00295635">
        <w:trPr>
          <w:trHeight w:val="20"/>
        </w:trPr>
        <w:tc>
          <w:tcPr>
            <w:tcW w:w="4672" w:type="dxa"/>
            <w:tcMar>
              <w:left w:w="0" w:type="dxa"/>
              <w:right w:w="0" w:type="dxa"/>
            </w:tcMar>
          </w:tcPr>
          <w:p w14:paraId="18331A10" w14:textId="77777777" w:rsidR="00295635" w:rsidRPr="00B82694" w:rsidRDefault="00295635" w:rsidP="00295635">
            <w:pPr>
              <w:pStyle w:val="Avots"/>
            </w:pPr>
            <w:r w:rsidRPr="00B82694">
              <w:t xml:space="preserve">Avots: </w:t>
            </w:r>
            <w:hyperlink r:id="rId31" w:history="1">
              <w:r w:rsidRPr="00B82694">
                <w:rPr>
                  <w:rStyle w:val="Hyperlink"/>
                </w:rPr>
                <w:t>Igaunijas</w:t>
              </w:r>
            </w:hyperlink>
            <w:r w:rsidRPr="00B82694">
              <w:t xml:space="preserve">, </w:t>
            </w:r>
            <w:hyperlink r:id="rId32" w:history="1">
              <w:r w:rsidRPr="00B82694">
                <w:rPr>
                  <w:rStyle w:val="Hyperlink"/>
                </w:rPr>
                <w:t>Latvijas</w:t>
              </w:r>
            </w:hyperlink>
            <w:r w:rsidRPr="00B82694">
              <w:t xml:space="preserve"> un </w:t>
            </w:r>
            <w:hyperlink r:id="rId33" w:history="1">
              <w:r w:rsidRPr="00B82694">
                <w:rPr>
                  <w:rStyle w:val="Hyperlink"/>
                </w:rPr>
                <w:t>Lietuvas</w:t>
              </w:r>
            </w:hyperlink>
            <w:r w:rsidRPr="00B82694">
              <w:t xml:space="preserve"> statistikas pārvaldes dati</w:t>
            </w:r>
          </w:p>
        </w:tc>
      </w:tr>
      <w:tr w:rsidR="00295635" w:rsidRPr="00B82694" w14:paraId="3E5A4511" w14:textId="77777777" w:rsidTr="00295635">
        <w:trPr>
          <w:trHeight w:val="20"/>
        </w:trPr>
        <w:tc>
          <w:tcPr>
            <w:tcW w:w="4672" w:type="dxa"/>
            <w:tcMar>
              <w:left w:w="0" w:type="dxa"/>
              <w:right w:w="0" w:type="dxa"/>
            </w:tcMar>
          </w:tcPr>
          <w:p w14:paraId="4DB54664" w14:textId="77777777" w:rsidR="00295635" w:rsidRPr="00B82694" w:rsidRDefault="00295635" w:rsidP="00295635">
            <w:pPr>
              <w:pStyle w:val="Attlanosaukums"/>
            </w:pPr>
            <w:r w:rsidRPr="00B82694">
              <w:t>8. attēls. Ēdināšanas pakalpojumu nozares kopējā likviditāte</w:t>
            </w:r>
          </w:p>
        </w:tc>
      </w:tr>
      <w:tr w:rsidR="00295635" w:rsidRPr="00B82694" w14:paraId="4D69C853" w14:textId="77777777" w:rsidTr="00295635">
        <w:trPr>
          <w:trHeight w:val="20"/>
        </w:trPr>
        <w:tc>
          <w:tcPr>
            <w:tcW w:w="4672" w:type="dxa"/>
            <w:tcMar>
              <w:left w:w="0" w:type="dxa"/>
              <w:right w:w="0" w:type="dxa"/>
            </w:tcMar>
          </w:tcPr>
          <w:p w14:paraId="281875BE" w14:textId="77777777" w:rsidR="00295635" w:rsidRPr="00B82694" w:rsidRDefault="00295635" w:rsidP="00295635">
            <w:pPr>
              <w:pStyle w:val="Avots"/>
            </w:pPr>
            <w:r w:rsidRPr="00B82694">
              <w:rPr>
                <w:noProof/>
              </w:rPr>
              <w:drawing>
                <wp:inline distT="0" distB="0" distL="0" distR="0" wp14:anchorId="0EB292C0" wp14:editId="73B48073">
                  <wp:extent cx="2952000" cy="1800000"/>
                  <wp:effectExtent l="0" t="0" r="1270" b="0"/>
                  <wp:docPr id="68831943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</w:tr>
      <w:tr w:rsidR="00295635" w:rsidRPr="00B82694" w14:paraId="4BDD5B3B" w14:textId="77777777" w:rsidTr="00295635">
        <w:trPr>
          <w:trHeight w:val="20"/>
        </w:trPr>
        <w:tc>
          <w:tcPr>
            <w:tcW w:w="4672" w:type="dxa"/>
            <w:tcMar>
              <w:left w:w="0" w:type="dxa"/>
              <w:right w:w="0" w:type="dxa"/>
            </w:tcMar>
          </w:tcPr>
          <w:p w14:paraId="6E36EADF" w14:textId="77777777" w:rsidR="00295635" w:rsidRPr="00B82694" w:rsidRDefault="00295635" w:rsidP="00295635">
            <w:pPr>
              <w:pStyle w:val="Avots"/>
            </w:pPr>
            <w:r w:rsidRPr="00B82694">
              <w:t xml:space="preserve">Avots: </w:t>
            </w:r>
            <w:hyperlink r:id="rId35" w:history="1">
              <w:r w:rsidRPr="00B82694">
                <w:rPr>
                  <w:rStyle w:val="Hyperlink"/>
                </w:rPr>
                <w:t>Igaunijas</w:t>
              </w:r>
            </w:hyperlink>
            <w:r w:rsidRPr="00B82694">
              <w:t xml:space="preserve">, </w:t>
            </w:r>
            <w:hyperlink r:id="rId36" w:history="1">
              <w:r w:rsidRPr="00B82694">
                <w:rPr>
                  <w:rStyle w:val="Hyperlink"/>
                </w:rPr>
                <w:t>Latvijas</w:t>
              </w:r>
            </w:hyperlink>
            <w:r w:rsidRPr="00B82694">
              <w:t xml:space="preserve"> un </w:t>
            </w:r>
            <w:hyperlink r:id="rId37" w:history="1">
              <w:r w:rsidRPr="00B82694">
                <w:rPr>
                  <w:rStyle w:val="Hyperlink"/>
                </w:rPr>
                <w:t>Lietuvas</w:t>
              </w:r>
            </w:hyperlink>
            <w:r w:rsidRPr="00B82694">
              <w:t xml:space="preserve"> statistikas pārvaldes dati</w:t>
            </w:r>
          </w:p>
        </w:tc>
      </w:tr>
    </w:tbl>
    <w:p w14:paraId="50FDA7B1" w14:textId="5F2957CA" w:rsidR="00C80150" w:rsidRPr="00B82694" w:rsidRDefault="00295635">
      <w:r w:rsidRPr="00B82694">
        <w:t xml:space="preserve"> </w:t>
      </w:r>
      <w:r w:rsidR="004A0BDB" w:rsidRPr="00B82694">
        <w:t>Neskatoties uz to, ka pirms Covid</w:t>
      </w:r>
      <w:r w:rsidR="004A0BDB" w:rsidRPr="00B82694">
        <w:noBreakHyphen/>
        <w:t>19 pandēmijas periodā ēdināšanas pakalpojumu nozaru attīstība Baltijas valstīs bija ļoti dinamiska, Latvijas ēdināšanas pakalpojumu nozare</w:t>
      </w:r>
      <w:r w:rsidR="004E5F23" w:rsidRPr="00B82694">
        <w:t>,</w:t>
      </w:r>
      <w:r w:rsidR="004A0BDB" w:rsidRPr="00B82694">
        <w:t xml:space="preserve"> atšķirībā </w:t>
      </w:r>
      <w:r w:rsidR="004E5F23" w:rsidRPr="00B82694">
        <w:t xml:space="preserve">no </w:t>
      </w:r>
      <w:r w:rsidR="004A0BDB" w:rsidRPr="00B82694">
        <w:t>Lietuvas un Igaunijas</w:t>
      </w:r>
      <w:r w:rsidR="004E5F23" w:rsidRPr="00B82694">
        <w:t>,</w:t>
      </w:r>
      <w:r w:rsidR="004A0BDB" w:rsidRPr="00B82694">
        <w:t xml:space="preserve"> makroekonomiskajā līmenī neuzradīja pelnītspējas pazīmes</w:t>
      </w:r>
      <w:r w:rsidR="008A4600" w:rsidRPr="00B82694">
        <w:t>:</w:t>
      </w:r>
      <w:r w:rsidR="004A0BDB" w:rsidRPr="00B82694">
        <w:t xml:space="preserve"> </w:t>
      </w:r>
      <w:r w:rsidR="008A4600" w:rsidRPr="00B82694">
        <w:t>n</w:t>
      </w:r>
      <w:r w:rsidR="004A0BDB" w:rsidRPr="00B82694">
        <w:t xml:space="preserve">ozares neto peļņa Latvijā 2018.–2019. gadā bija </w:t>
      </w:r>
      <w:r w:rsidR="008A4600" w:rsidRPr="00B82694">
        <w:t>5 un vairāk reizes zemāka</w:t>
      </w:r>
      <w:r w:rsidR="003A0A62" w:rsidRPr="00B82694">
        <w:t xml:space="preserve"> nekā kaimiņvalstīs</w:t>
      </w:r>
      <w:r w:rsidR="008A4600" w:rsidRPr="00B82694">
        <w:t xml:space="preserve"> (skat. 6. att.).</w:t>
      </w:r>
      <w:r w:rsidR="002E2AF3" w:rsidRPr="00B82694">
        <w:t xml:space="preserve"> 2020. gads, kā bija </w:t>
      </w:r>
      <w:r w:rsidR="00834899" w:rsidRPr="00B82694">
        <w:t>minēts</w:t>
      </w:r>
      <w:r w:rsidR="002E2AF3" w:rsidRPr="00B82694">
        <w:t xml:space="preserve"> iepriekš, bija grūts un izaicinājumu pilns</w:t>
      </w:r>
      <w:r w:rsidR="004E5F23" w:rsidRPr="00B82694">
        <w:t>,</w:t>
      </w:r>
      <w:r w:rsidR="002E2AF3" w:rsidRPr="00B82694">
        <w:t xml:space="preserve"> t.sk. ēdināšanas pakalpojumu nozaru </w:t>
      </w:r>
      <w:r w:rsidR="004E5F23" w:rsidRPr="00B82694">
        <w:t>pārstāvjiem</w:t>
      </w:r>
      <w:r w:rsidR="002E2AF3" w:rsidRPr="00B82694">
        <w:t xml:space="preserve">, kā rezultātā zaudējumu apmērs, kas </w:t>
      </w:r>
      <w:r w:rsidR="00CC5ECB" w:rsidRPr="00B82694">
        <w:t>tika uzkrāts</w:t>
      </w:r>
      <w:r w:rsidR="002E2AF3" w:rsidRPr="00B82694">
        <w:t xml:space="preserve"> nozarē, pārsniedza nozarē nopelnīto.</w:t>
      </w:r>
      <w:r w:rsidR="007D3973" w:rsidRPr="00B82694">
        <w:t xml:space="preserve"> Īpaši lieli zaudējumi bija novērojami Latvijas ēdināšanas pakalpojumu nozarē.</w:t>
      </w:r>
    </w:p>
    <w:p w14:paraId="3BDDE1D3" w14:textId="7540B25E" w:rsidR="0083480B" w:rsidRPr="00B82694" w:rsidRDefault="002E2AF3">
      <w:r w:rsidRPr="00B82694">
        <w:t xml:space="preserve">Neskatoties uz to, ka 2021. gada 1. pusgadā Baltijas valstīs </w:t>
      </w:r>
      <w:r w:rsidR="007D3973" w:rsidRPr="00B82694">
        <w:t>bija diezgan nelabvēlīga epidemioloģiskā situācija un bargie ierobežojumi ēdināšanas nozares darbībai tika mīkstināti tikai 2.</w:t>
      </w:r>
      <w:r w:rsidR="007D3973" w:rsidRPr="00B82694">
        <w:noBreakHyphen/>
        <w:t>3. ceturksnī, nozare visās Baltijas valstīs spēja noslēgt gadu ar peļņu</w:t>
      </w:r>
      <w:r w:rsidR="00CC5ECB" w:rsidRPr="00B82694">
        <w:t>.</w:t>
      </w:r>
      <w:r w:rsidR="0028186E" w:rsidRPr="00B82694">
        <w:t xml:space="preserve"> </w:t>
      </w:r>
      <w:r w:rsidR="007D3973" w:rsidRPr="00B82694">
        <w:t xml:space="preserve">Lietuvas un Igaunijas gadījumā </w:t>
      </w:r>
      <w:r w:rsidR="00CC5ECB" w:rsidRPr="00B82694">
        <w:t>ēdināšanas pakalpojumu nozarē 2021. gadā uzkrāt</w:t>
      </w:r>
      <w:r w:rsidR="009660D2" w:rsidRPr="00B82694">
        <w:t>ā</w:t>
      </w:r>
      <w:r w:rsidR="00CC5ECB" w:rsidRPr="00B82694">
        <w:t xml:space="preserve"> neto peļņa </w:t>
      </w:r>
      <w:r w:rsidR="007D3973" w:rsidRPr="00B82694">
        <w:t>bija līdzvērtīga peļņas apmēriem, kas tika gūt</w:t>
      </w:r>
      <w:r w:rsidR="00EF13F4" w:rsidRPr="00B82694">
        <w:t>i</w:t>
      </w:r>
      <w:r w:rsidR="007D3973" w:rsidRPr="00B82694">
        <w:t xml:space="preserve"> pirms Covid</w:t>
      </w:r>
      <w:r w:rsidR="007D3973" w:rsidRPr="00B82694">
        <w:noBreakHyphen/>
        <w:t>19 pandēmijas</w:t>
      </w:r>
      <w:r w:rsidR="00CC5ECB" w:rsidRPr="00B82694">
        <w:t>.</w:t>
      </w:r>
      <w:r w:rsidR="007D3973" w:rsidRPr="00B82694">
        <w:t xml:space="preserve"> Latvijas gadījumā </w:t>
      </w:r>
      <w:r w:rsidR="00CC5ECB" w:rsidRPr="00B82694">
        <w:t xml:space="preserve">ēdināšanas pakalpojumu nozare noslēdza 2021. gadu </w:t>
      </w:r>
      <w:r w:rsidR="007D3973" w:rsidRPr="00B82694">
        <w:t xml:space="preserve">ar būtiski labākiem rezultātiem. Tas </w:t>
      </w:r>
      <w:r w:rsidR="00F2535C" w:rsidRPr="00B82694">
        <w:t>norāda uz to</w:t>
      </w:r>
      <w:r w:rsidR="007D3973" w:rsidRPr="00B82694">
        <w:t xml:space="preserve">, ka </w:t>
      </w:r>
      <w:r w:rsidR="005F1C63" w:rsidRPr="00B82694">
        <w:t xml:space="preserve">ēdināšanas pakalpojumu nozare Latvijā 2020. gada laikā pārdzīvoja lielas </w:t>
      </w:r>
      <w:r w:rsidR="00F2535C" w:rsidRPr="00B82694">
        <w:t xml:space="preserve">strukturālas </w:t>
      </w:r>
      <w:r w:rsidR="005F1C63" w:rsidRPr="00B82694">
        <w:t>pārmaiņas, uzņēmēji, k</w:t>
      </w:r>
      <w:r w:rsidR="00F2535C" w:rsidRPr="00B82694">
        <w:t xml:space="preserve">uriem </w:t>
      </w:r>
      <w:r w:rsidR="005F1C63" w:rsidRPr="00B82694">
        <w:t xml:space="preserve">pirms pandēmijas </w:t>
      </w:r>
      <w:r w:rsidR="00F2535C" w:rsidRPr="00B82694">
        <w:t>neizdevās</w:t>
      </w:r>
      <w:r w:rsidR="005F1C63" w:rsidRPr="00B82694">
        <w:t xml:space="preserve"> izveidot peļņu nesošo biznesu vai </w:t>
      </w:r>
      <w:r w:rsidR="00F2535C" w:rsidRPr="00B82694">
        <w:t xml:space="preserve">kuri </w:t>
      </w:r>
      <w:r w:rsidR="005F1C63" w:rsidRPr="00B82694">
        <w:t>nespēja pielāgoties jauniem izaicinājumiem, pārtrauca savu saimniecisko darbību un tirgū palika spējīgākie no tiem.</w:t>
      </w:r>
    </w:p>
    <w:p w14:paraId="2BBEEAF1" w14:textId="348FCB57" w:rsidR="00A52B34" w:rsidRPr="00B82694" w:rsidRDefault="00624297">
      <w:r w:rsidRPr="00B82694">
        <w:t>Pie līdzīgiem secinājumiem var nonākt, analizējot tādu ēdināšanas pakalpojumu nozares finanšu analīzes rādītāju, kā komerciālā rentabilitāte</w:t>
      </w:r>
      <w:r w:rsidRPr="00B82694">
        <w:rPr>
          <w:rStyle w:val="FootnoteReference"/>
        </w:rPr>
        <w:footnoteReference w:id="1"/>
      </w:r>
      <w:r w:rsidRPr="00B82694">
        <w:t xml:space="preserve"> (skat. 7. att.). Tas labāk piemērots starpvalstu salīdzināšanai, jo no tā tiek </w:t>
      </w:r>
      <w:r w:rsidR="00AF23FE" w:rsidRPr="00B82694">
        <w:t>iz</w:t>
      </w:r>
      <w:r w:rsidRPr="00B82694">
        <w:t>ņemt</w:t>
      </w:r>
      <w:r w:rsidR="0061528C" w:rsidRPr="00B82694">
        <w:t>s</w:t>
      </w:r>
      <w:r w:rsidRPr="00B82694">
        <w:t xml:space="preserve"> mēroga efekts, kad lielākām </w:t>
      </w:r>
      <w:r w:rsidRPr="00B82694">
        <w:lastRenderedPageBreak/>
        <w:t xml:space="preserve">tautsaimniecībām vienādās nozarēs </w:t>
      </w:r>
      <w:r w:rsidR="0061528C" w:rsidRPr="00B82694">
        <w:t>pie vienādiem nosacījumiem tiek ģenerēta lielāka peļņa tikai nozares lieluma</w:t>
      </w:r>
      <w:r w:rsidR="009A64C7" w:rsidRPr="00B82694">
        <w:t xml:space="preserve"> dē</w:t>
      </w:r>
      <w:r w:rsidR="009660D2" w:rsidRPr="00B82694">
        <w:t>ļ</w:t>
      </w:r>
      <w:r w:rsidR="0061528C" w:rsidRPr="00B82694">
        <w:t>.</w:t>
      </w:r>
    </w:p>
    <w:p w14:paraId="5814C6DD" w14:textId="0AE348E6" w:rsidR="00ED4311" w:rsidRPr="00B82694" w:rsidRDefault="00ED4311" w:rsidP="00ED4311">
      <w:r w:rsidRPr="00B82694">
        <w:t xml:space="preserve">Analizējot ēdināšanas pakalpojumu nozares neto peļņas vai komerciālās rentabilitātes rādītāju dinamiku, ir vērts </w:t>
      </w:r>
      <w:r w:rsidR="00E66A66" w:rsidRPr="00B82694">
        <w:t>atzīmēt</w:t>
      </w:r>
      <w:r w:rsidRPr="00B82694">
        <w:t xml:space="preserve"> Lietuvas nozares iespaidīgus panākumus 2022. gadā, kas var būt saistīti ar PVN likmes samazināšanu šai nozarei, kas bija spēkā Lietuvā no 01.01.202</w:t>
      </w:r>
      <w:r w:rsidR="00E66A66" w:rsidRPr="00B82694">
        <w:t>1</w:t>
      </w:r>
      <w:r w:rsidRPr="00B82694">
        <w:t xml:space="preserve">. līdz 31.12.2023. Tas izskaidro arī nozares pārstāvju pretošanos PVN standartlikmes </w:t>
      </w:r>
      <w:r w:rsidR="00303797" w:rsidRPr="00B82694">
        <w:t xml:space="preserve">atgriešanai </w:t>
      </w:r>
      <w:r w:rsidRPr="00B82694">
        <w:t>un prasības atgriezt PVN samazināto likmi ēdināšanas pakalpojumiem (</w:t>
      </w:r>
      <w:hyperlink r:id="rId38" w:history="1">
        <w:r w:rsidRPr="00B82694">
          <w:rPr>
            <w:rStyle w:val="Hyperlink"/>
          </w:rPr>
          <w:t>saite</w:t>
        </w:r>
      </w:hyperlink>
      <w:r w:rsidRPr="00B82694">
        <w:t>).</w:t>
      </w:r>
    </w:p>
    <w:p w14:paraId="03F3B8A7" w14:textId="6A2B38F3" w:rsidR="00C80150" w:rsidRPr="00B82694" w:rsidRDefault="005E2AF4">
      <w:r w:rsidRPr="00B82694">
        <w:t xml:space="preserve">Neskatoties uz </w:t>
      </w:r>
      <w:r w:rsidR="00D71D41" w:rsidRPr="00B82694">
        <w:t xml:space="preserve">to, ka pēdējos gados vērojams </w:t>
      </w:r>
      <w:r w:rsidRPr="00B82694">
        <w:t>acīmredzam</w:t>
      </w:r>
      <w:r w:rsidR="00D71D41" w:rsidRPr="00B82694">
        <w:t>s</w:t>
      </w:r>
      <w:r w:rsidRPr="00B82694">
        <w:t xml:space="preserve"> uzlabojum</w:t>
      </w:r>
      <w:r w:rsidR="00D71D41" w:rsidRPr="00B82694">
        <w:t>s</w:t>
      </w:r>
      <w:r w:rsidRPr="00B82694">
        <w:t xml:space="preserve"> Latvijas ēdināšanas pakalpojumu nozares pelnītspējā, nozares uzņēmumu finansiālā stabilitāte ir zemākā līmenī nekā vidēji Lietuvā un Igaunijā, uz ko norāda kopējās likviditātes koeficients</w:t>
      </w:r>
      <w:r w:rsidRPr="00B82694">
        <w:rPr>
          <w:rStyle w:val="FootnoteReference"/>
        </w:rPr>
        <w:footnoteReference w:id="2"/>
      </w:r>
      <w:r w:rsidRPr="00B82694">
        <w:t xml:space="preserve"> (skat. 8. att.). </w:t>
      </w:r>
      <w:r w:rsidR="00D71D41" w:rsidRPr="00B82694">
        <w:t xml:space="preserve">Ņemot vērā, ka PVN likmes samazināšana neietekmēja Lietuvas nozares kopējās likviditātes koeficientu, var uzskatīt, ka </w:t>
      </w:r>
      <w:r w:rsidR="00394D38" w:rsidRPr="00B82694">
        <w:t>1,2-1,6 ir pietiekam</w:t>
      </w:r>
      <w:r w:rsidR="00303797" w:rsidRPr="00B82694">
        <w:t>s</w:t>
      </w:r>
      <w:r w:rsidR="00394D38" w:rsidRPr="00B82694">
        <w:t xml:space="preserve"> komforta līmenis, </w:t>
      </w:r>
      <w:r w:rsidR="008C5B3B" w:rsidRPr="00B82694">
        <w:t>uz</w:t>
      </w:r>
      <w:r w:rsidR="00394D38" w:rsidRPr="00B82694">
        <w:t xml:space="preserve"> k</w:t>
      </w:r>
      <w:r w:rsidR="008C5B3B" w:rsidRPr="00B82694">
        <w:t>uru</w:t>
      </w:r>
      <w:r w:rsidR="00394D38" w:rsidRPr="00B82694">
        <w:t xml:space="preserve"> Latvijas ēdināšanas pakalpojumu nozare sāka pakāpeniski virzīties 2021.-2022. gadā.</w:t>
      </w:r>
    </w:p>
    <w:p w14:paraId="63F51755" w14:textId="6ECC85C5" w:rsidR="00C80150" w:rsidRPr="00B82694" w:rsidRDefault="0020573D" w:rsidP="00664610">
      <w:pPr>
        <w:pStyle w:val="Heading1"/>
      </w:pPr>
      <w:r w:rsidRPr="00B82694">
        <w:t>Fiskālais aspekts</w:t>
      </w:r>
    </w:p>
    <w:p w14:paraId="4ACF9190" w14:textId="4EA73AFC" w:rsidR="00C80150" w:rsidRPr="00B82694" w:rsidRDefault="00271099">
      <w:r w:rsidRPr="00B82694">
        <w:t>Analizējot PVN maksātāju, kuri</w:t>
      </w:r>
      <w:r w:rsidR="00303797" w:rsidRPr="00B82694">
        <w:t>em</w:t>
      </w:r>
      <w:r w:rsidRPr="00B82694">
        <w:t xml:space="preserve"> </w:t>
      </w:r>
      <w:r w:rsidR="00653EA4" w:rsidRPr="00B82694">
        <w:t xml:space="preserve">saimnieciskās pamatdarbības veids atbilstoši NACE 2.red. klasifikācijai ir 56 nozare (Ēdināšanas pakalpojumi), </w:t>
      </w:r>
      <w:r w:rsidR="00303797" w:rsidRPr="00B82694">
        <w:t xml:space="preserve">datus </w:t>
      </w:r>
      <w:r w:rsidR="00653EA4" w:rsidRPr="00B82694">
        <w:t xml:space="preserve">var </w:t>
      </w:r>
      <w:r w:rsidR="005E2340" w:rsidRPr="00B82694">
        <w:t>atzīmēt,</w:t>
      </w:r>
      <w:r w:rsidR="009B6A24" w:rsidRPr="00B82694">
        <w:t xml:space="preserve"> ka</w:t>
      </w:r>
      <w:r w:rsidR="005E2340" w:rsidRPr="00B82694">
        <w:t xml:space="preserve"> </w:t>
      </w:r>
      <w:r w:rsidR="00302C96" w:rsidRPr="00B82694">
        <w:t xml:space="preserve">nozares </w:t>
      </w:r>
      <w:r w:rsidR="00F6326D" w:rsidRPr="00B82694">
        <w:t>PVN maksātāj</w:t>
      </w:r>
      <w:r w:rsidR="00302C96" w:rsidRPr="00B82694">
        <w:t>i Baltijas valstīs cieta no Covid</w:t>
      </w:r>
      <w:r w:rsidR="00302C96" w:rsidRPr="00B82694">
        <w:noBreakHyphen/>
        <w:t>19 pandēmijas daudz mazākā mērā nekā nozares PVN nemaksātāji: 2020. gadā PVN maksātāju apgrozījums ēdināšanas pakalpojumu nozarē Igaunijā samazinājies par 23,2 %, Latvijā – par 25,0 % un Lietuvā – par 16,5 % (skat. 9. att.), tajā pat laikā kopējam apgrozījumam samazinoties attiecīgi par 29,6 %, 29,9 % un 21,8 </w:t>
      </w:r>
      <w:r w:rsidR="00E82A17" w:rsidRPr="00B82694">
        <w:t>%</w:t>
      </w:r>
      <w:r w:rsidR="009B6A24" w:rsidRPr="00B82694">
        <w:t xml:space="preserve"> (skat. 2. att.)</w:t>
      </w:r>
      <w:r w:rsidR="00302C96" w:rsidRPr="00B82694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BB00B7" w:rsidRPr="00B82694" w14:paraId="64A63052" w14:textId="02B2DBA7" w:rsidTr="00BB00B7">
        <w:trPr>
          <w:cantSplit/>
          <w:trHeight w:val="113"/>
        </w:trPr>
        <w:tc>
          <w:tcPr>
            <w:tcW w:w="4672" w:type="dxa"/>
            <w:tcMar>
              <w:left w:w="0" w:type="dxa"/>
              <w:right w:w="0" w:type="dxa"/>
            </w:tcMar>
          </w:tcPr>
          <w:p w14:paraId="29EC2DCF" w14:textId="580849F6" w:rsidR="00BB00B7" w:rsidRPr="00B82694" w:rsidRDefault="00BB00B7" w:rsidP="00BB00B7">
            <w:pPr>
              <w:pStyle w:val="Attlanosaukums"/>
            </w:pPr>
            <w:r w:rsidRPr="00B82694">
              <w:t>9. attēls. Ēdināšanas pakalpojumu nozares PVN maksātāju apgrozījums</w:t>
            </w:r>
          </w:p>
        </w:tc>
        <w:tc>
          <w:tcPr>
            <w:tcW w:w="4672" w:type="dxa"/>
          </w:tcPr>
          <w:p w14:paraId="22A158CE" w14:textId="2E4D3D77" w:rsidR="00BB00B7" w:rsidRPr="00B82694" w:rsidRDefault="00BB00B7" w:rsidP="00BB00B7">
            <w:pPr>
              <w:pStyle w:val="Attlanosaukums"/>
              <w:ind w:left="-103"/>
            </w:pPr>
            <w:r w:rsidRPr="00B82694">
              <w:t xml:space="preserve">10. attēls. Ēdināšanas pakalpojumu nozares </w:t>
            </w:r>
            <w:r w:rsidR="00D7334F" w:rsidRPr="00B82694">
              <w:t xml:space="preserve">valsts kasē iemaksājamais </w:t>
            </w:r>
            <w:r w:rsidRPr="00B82694">
              <w:t xml:space="preserve">PVN </w:t>
            </w:r>
          </w:p>
        </w:tc>
      </w:tr>
      <w:tr w:rsidR="00BB00B7" w:rsidRPr="00B82694" w14:paraId="4AEF41D8" w14:textId="77777777" w:rsidTr="00BB00B7">
        <w:trPr>
          <w:cantSplit/>
          <w:trHeight w:val="113"/>
        </w:trPr>
        <w:tc>
          <w:tcPr>
            <w:tcW w:w="4672" w:type="dxa"/>
            <w:tcMar>
              <w:left w:w="0" w:type="dxa"/>
              <w:right w:w="0" w:type="dxa"/>
            </w:tcMar>
          </w:tcPr>
          <w:p w14:paraId="3114B895" w14:textId="1296CC00" w:rsidR="00BB00B7" w:rsidRPr="00B82694" w:rsidRDefault="00BB00B7" w:rsidP="00BB00B7">
            <w:pPr>
              <w:pStyle w:val="Tabletext"/>
            </w:pPr>
            <w:r w:rsidRPr="00B82694">
              <w:rPr>
                <w:noProof/>
              </w:rPr>
              <w:drawing>
                <wp:inline distT="0" distB="0" distL="0" distR="0" wp14:anchorId="7ABA5094" wp14:editId="5E1C2C33">
                  <wp:extent cx="2952000" cy="1800000"/>
                  <wp:effectExtent l="0" t="0" r="1270" b="0"/>
                  <wp:docPr id="1862039193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02F9F9C2" w14:textId="2F408741" w:rsidR="00BB00B7" w:rsidRPr="00B82694" w:rsidRDefault="00BB00B7" w:rsidP="00BB00B7">
            <w:pPr>
              <w:pStyle w:val="Tabletext"/>
              <w:ind w:left="-103"/>
            </w:pPr>
            <w:r w:rsidRPr="00B82694">
              <w:rPr>
                <w:noProof/>
              </w:rPr>
              <w:drawing>
                <wp:inline distT="0" distB="0" distL="0" distR="0" wp14:anchorId="59918B00" wp14:editId="3903B3F9">
                  <wp:extent cx="2952000" cy="1800000"/>
                  <wp:effectExtent l="0" t="0" r="1270" b="0"/>
                  <wp:docPr id="1108472160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</w:tr>
      <w:tr w:rsidR="00BB00B7" w:rsidRPr="00B82694" w14:paraId="6CE34D51" w14:textId="77777777" w:rsidTr="00BB00B7">
        <w:trPr>
          <w:cantSplit/>
          <w:trHeight w:val="113"/>
        </w:trPr>
        <w:tc>
          <w:tcPr>
            <w:tcW w:w="4672" w:type="dxa"/>
            <w:tcMar>
              <w:left w:w="0" w:type="dxa"/>
              <w:right w:w="0" w:type="dxa"/>
            </w:tcMar>
          </w:tcPr>
          <w:p w14:paraId="57BDE86A" w14:textId="7743F7B9" w:rsidR="00BB00B7" w:rsidRPr="00B82694" w:rsidRDefault="00BB00B7" w:rsidP="00BB00B7">
            <w:pPr>
              <w:pStyle w:val="Avots"/>
            </w:pPr>
            <w:r w:rsidRPr="00B82694">
              <w:t>Avots: Igaunijas, Latvijas un Lietuvas FM dati</w:t>
            </w:r>
          </w:p>
        </w:tc>
        <w:tc>
          <w:tcPr>
            <w:tcW w:w="4672" w:type="dxa"/>
          </w:tcPr>
          <w:p w14:paraId="2B8A1F66" w14:textId="6993F94A" w:rsidR="00BB00B7" w:rsidRPr="00B82694" w:rsidRDefault="00BB00B7" w:rsidP="00BB00B7">
            <w:pPr>
              <w:pStyle w:val="Avots"/>
              <w:ind w:left="-103"/>
            </w:pPr>
            <w:r w:rsidRPr="00B82694">
              <w:t>Avots: Igaunijas, Latvijas un Lietuvas FM dati</w:t>
            </w:r>
          </w:p>
        </w:tc>
      </w:tr>
    </w:tbl>
    <w:p w14:paraId="2F7F1F36" w14:textId="643BD751" w:rsidR="006E00E6" w:rsidRPr="00B82694" w:rsidRDefault="00AE2AD9">
      <w:r w:rsidRPr="00B82694">
        <w:t>Pēc 2022. gada katrā no Baltijas valstī</w:t>
      </w:r>
      <w:r w:rsidR="00E82A17" w:rsidRPr="00B82694">
        <w:t>m</w:t>
      </w:r>
      <w:r w:rsidRPr="00B82694">
        <w:t xml:space="preserve"> ēdināšanas nozarē </w:t>
      </w:r>
      <w:r w:rsidR="008C5B3B" w:rsidRPr="00B82694">
        <w:t xml:space="preserve">PVN maksātājiem </w:t>
      </w:r>
      <w:r w:rsidRPr="00B82694">
        <w:t>bija vērojama strauja atveseļošan</w:t>
      </w:r>
      <w:r w:rsidR="00E82A17" w:rsidRPr="00B82694">
        <w:t>ā</w:t>
      </w:r>
      <w:r w:rsidRPr="00B82694">
        <w:t xml:space="preserve">s 2022. gadā un būtiska izaugsme 2023. gadā. Neapšaubāmi, </w:t>
      </w:r>
      <w:r w:rsidR="00D433AC" w:rsidRPr="00B82694">
        <w:t>savu ietekmi uz apgrozījuma dinamiku atstāja ēdināšanas pakalpojumu inflācija šajā periodā, taču apgrozījuma pie</w:t>
      </w:r>
      <w:r w:rsidR="008C5B3B" w:rsidRPr="00B82694">
        <w:t>au</w:t>
      </w:r>
      <w:r w:rsidR="00D433AC" w:rsidRPr="00B82694">
        <w:t xml:space="preserve">guma tempi bija daudz augstākā līmenī, norādot uz būtisku reālo izaugsmi. Tas </w:t>
      </w:r>
      <w:r w:rsidR="009C5AC2" w:rsidRPr="00B82694">
        <w:t xml:space="preserve">viss </w:t>
      </w:r>
      <w:r w:rsidR="00D433AC" w:rsidRPr="00B82694">
        <w:t xml:space="preserve">nevarēja neatspoguļoties </w:t>
      </w:r>
      <w:r w:rsidR="009C5AC2" w:rsidRPr="00B82694">
        <w:t xml:space="preserve">valsts budžetos </w:t>
      </w:r>
      <w:r w:rsidR="00D433AC" w:rsidRPr="00B82694">
        <w:t>PVN ieņēmum</w:t>
      </w:r>
      <w:r w:rsidR="009C5AC2" w:rsidRPr="00B82694">
        <w:t>u pieauguma veidā</w:t>
      </w:r>
      <w:r w:rsidR="00D433AC" w:rsidRPr="00B82694">
        <w:t xml:space="preserve">. Latvijā un </w:t>
      </w:r>
      <w:r w:rsidR="006E00E6" w:rsidRPr="00B82694">
        <w:t>Igaunijā PVN deklarāciju dati liecina par būtisku valsts budžetā iemaksājam</w:t>
      </w:r>
      <w:r w:rsidR="00D7334F" w:rsidRPr="00B82694">
        <w:t>ā</w:t>
      </w:r>
      <w:r w:rsidR="006E00E6" w:rsidRPr="00B82694">
        <w:t xml:space="preserve"> PVN </w:t>
      </w:r>
      <w:r w:rsidR="009C5AC2" w:rsidRPr="00B82694">
        <w:t>apmēra</w:t>
      </w:r>
      <w:r w:rsidR="006E00E6" w:rsidRPr="00B82694">
        <w:t xml:space="preserve"> pieaugumu 2022.</w:t>
      </w:r>
      <w:r w:rsidR="006E00E6" w:rsidRPr="00B82694">
        <w:noBreakHyphen/>
        <w:t>2023. gadā (skat. 10. att.).</w:t>
      </w:r>
    </w:p>
    <w:p w14:paraId="3BE8E49C" w14:textId="0AE6488A" w:rsidR="00C80150" w:rsidRPr="00B82694" w:rsidRDefault="006E00E6">
      <w:r w:rsidRPr="00B82694">
        <w:t>Savukārt, Lietuvas valdība 2021. gadā nolēma atbalstīt dažas no Covid</w:t>
      </w:r>
      <w:r w:rsidRPr="00B82694">
        <w:noBreakHyphen/>
        <w:t xml:space="preserve">19 pandēmijas īpaši cietušas pakalpojumu nozares, t.sk. ēdināšanas pakalpojumu nozari, uz laiku samazinot to pakalpojumu piegādēm piemērojamo PVN likmi (9 % 21 % vietā). Šī lēmuma </w:t>
      </w:r>
      <w:r w:rsidR="009C5AC2" w:rsidRPr="00B82694">
        <w:t>ietekmi uz</w:t>
      </w:r>
      <w:r w:rsidRPr="00B82694">
        <w:t xml:space="preserve"> valsts budžet</w:t>
      </w:r>
      <w:r w:rsidR="009C5AC2" w:rsidRPr="00B82694">
        <w:t>u</w:t>
      </w:r>
      <w:r w:rsidRPr="00B82694">
        <w:t xml:space="preserve"> ēdināšanas </w:t>
      </w:r>
      <w:r w:rsidRPr="00B82694">
        <w:lastRenderedPageBreak/>
        <w:t xml:space="preserve">nozares kontekstā var redzēt 10. attēlā. </w:t>
      </w:r>
      <w:r w:rsidR="001F70D3" w:rsidRPr="00B82694">
        <w:t>Pēc Lietuvas Republikas Finanšu ministrijas oficiālā vērtējuma, PVN likmes samazināšanas ēdināšanas nozares pakalpojumu piegādēm (izņemot alkoholisko dzērienu piegādes) rezultātā 2023. gadā Lietuvas valsts budžets neieguva 119 milj. euro</w:t>
      </w:r>
      <w:r w:rsidR="00F71A86" w:rsidRPr="00B82694">
        <w:t xml:space="preserve"> (</w:t>
      </w:r>
      <w:hyperlink r:id="rId41" w:history="1">
        <w:r w:rsidR="00F71A86" w:rsidRPr="00B82694">
          <w:rPr>
            <w:rStyle w:val="Hyperlink"/>
          </w:rPr>
          <w:t>saite</w:t>
        </w:r>
      </w:hyperlink>
      <w:r w:rsidR="00F71A86" w:rsidRPr="00B82694">
        <w:t>)</w:t>
      </w:r>
      <w:r w:rsidR="001F70D3" w:rsidRPr="00B82694">
        <w:t>.</w:t>
      </w:r>
    </w:p>
    <w:p w14:paraId="608AFC31" w14:textId="77777777" w:rsidR="0030712F" w:rsidRPr="00B82694" w:rsidRDefault="0030712F" w:rsidP="00664610">
      <w:pPr>
        <w:pStyle w:val="Heading1"/>
      </w:pPr>
      <w:r w:rsidRPr="00B82694">
        <w:t>Kopsavilkums</w:t>
      </w:r>
    </w:p>
    <w:p w14:paraId="099E5627" w14:textId="0CB83FE5" w:rsidR="00C80150" w:rsidRDefault="0030712F">
      <w:r w:rsidRPr="00B82694">
        <w:t>Ēdināšanas pakalpojumu nozare Baltijas valstīs smagi cieta no Covis</w:t>
      </w:r>
      <w:r w:rsidRPr="00B82694">
        <w:noBreakHyphen/>
        <w:t>19 pandēmijas. Vislielāko satricinājumu nozare pārdzīvoja 2020. gadā un 2021. gada 1. pusgadā, pēcāk uzrādot iespaidīgus atveseļošanas tempus. Analizējot finanšu rādītājus</w:t>
      </w:r>
      <w:r w:rsidR="00E66A66" w:rsidRPr="00B82694">
        <w:t>,</w:t>
      </w:r>
      <w:r w:rsidRPr="00B82694">
        <w:t xml:space="preserve"> var secināt, ka Latvijas ēdināšanas pakalpojumu nozare pandēmijas laikā pārdzīvoja dziļas strukturālas pārmaiņas un pēc pandēmijas periodā nozare demonstrē daudz </w:t>
      </w:r>
      <w:r w:rsidR="00B12134" w:rsidRPr="00B82694">
        <w:t>labāk</w:t>
      </w:r>
      <w:r w:rsidR="00984049" w:rsidRPr="00B82694">
        <w:t>u</w:t>
      </w:r>
      <w:r w:rsidR="00B12134" w:rsidRPr="00B82694">
        <w:t xml:space="preserve"> pelnītspēj</w:t>
      </w:r>
      <w:r w:rsidR="00984049" w:rsidRPr="00B82694">
        <w:t>u</w:t>
      </w:r>
      <w:r w:rsidR="00B12134" w:rsidRPr="00B82694">
        <w:t xml:space="preserve"> un finanšu stabilitāt</w:t>
      </w:r>
      <w:r w:rsidR="009A052C" w:rsidRPr="00B82694">
        <w:t>i</w:t>
      </w:r>
      <w:r w:rsidR="00B12134" w:rsidRPr="00B82694">
        <w:t>. Strauja nozares attīstība pēc Covid</w:t>
      </w:r>
      <w:r w:rsidR="00B12134" w:rsidRPr="00B82694">
        <w:noBreakHyphen/>
        <w:t xml:space="preserve">19 pandēmijas nesa savu labumu Igaunijas un Latvijas valsts budžetiem PVN ieņēmumu kontekstā, </w:t>
      </w:r>
      <w:r w:rsidR="00E534E8" w:rsidRPr="00B82694">
        <w:t>b</w:t>
      </w:r>
      <w:r w:rsidR="00B12134" w:rsidRPr="00B82694">
        <w:t>et ne Lietuvas gadījumā, kur PVN likme ēdināšanas nozares pakalpojumu piegādēm tika samazināt</w:t>
      </w:r>
      <w:r w:rsidR="009A052C" w:rsidRPr="00B82694">
        <w:t>a</w:t>
      </w:r>
      <w:r w:rsidR="00B12134" w:rsidRPr="00B82694">
        <w:t xml:space="preserve"> ar nolūku palīdzēt nozares atveseļošanai.</w:t>
      </w:r>
    </w:p>
    <w:p w14:paraId="1760D393" w14:textId="77777777" w:rsidR="00C80150" w:rsidRDefault="00C80150"/>
    <w:sectPr w:rsidR="00C80150" w:rsidSect="001A0492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BCDA3" w14:textId="77777777" w:rsidR="00706C75" w:rsidRDefault="00706C75" w:rsidP="00706C75">
      <w:pPr>
        <w:spacing w:before="0" w:after="0" w:line="240" w:lineRule="auto"/>
      </w:pPr>
      <w:r>
        <w:separator/>
      </w:r>
    </w:p>
  </w:endnote>
  <w:endnote w:type="continuationSeparator" w:id="0">
    <w:p w14:paraId="08A20683" w14:textId="77777777" w:rsidR="00706C75" w:rsidRDefault="00706C75" w:rsidP="00706C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92A7C" w14:textId="77777777" w:rsidR="00706C75" w:rsidRDefault="00706C75" w:rsidP="00706C75">
      <w:pPr>
        <w:spacing w:before="0" w:after="0" w:line="240" w:lineRule="auto"/>
      </w:pPr>
      <w:r>
        <w:separator/>
      </w:r>
    </w:p>
  </w:footnote>
  <w:footnote w:type="continuationSeparator" w:id="0">
    <w:p w14:paraId="13B1B484" w14:textId="77777777" w:rsidR="00706C75" w:rsidRDefault="00706C75" w:rsidP="00706C75">
      <w:pPr>
        <w:spacing w:before="0" w:after="0" w:line="240" w:lineRule="auto"/>
      </w:pPr>
      <w:r>
        <w:continuationSeparator/>
      </w:r>
    </w:p>
  </w:footnote>
  <w:footnote w:id="1">
    <w:p w14:paraId="4848FE24" w14:textId="77777777" w:rsidR="00624297" w:rsidRDefault="00624297" w:rsidP="006242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258B">
        <w:t xml:space="preserve">Komerciālā rentabilitāte </w:t>
      </w:r>
      <w:r w:rsidRPr="0081792B">
        <w:t xml:space="preserve">pēc nodokļiem </w:t>
      </w:r>
      <w:r w:rsidRPr="000D258B">
        <w:t>rāda, cik daudz peļņas uzņēmums ir ieguvis uz neto apgrozījuma vienību pēc nodokļu atskaitīšanas.</w:t>
      </w:r>
      <w:r>
        <w:t xml:space="preserve"> (</w:t>
      </w:r>
      <w:hyperlink r:id="rId1" w:history="1">
        <w:r w:rsidRPr="000D258B">
          <w:rPr>
            <w:rStyle w:val="Hyperlink"/>
          </w:rPr>
          <w:t>saite</w:t>
        </w:r>
      </w:hyperlink>
      <w:r>
        <w:t>)</w:t>
      </w:r>
    </w:p>
  </w:footnote>
  <w:footnote w:id="2">
    <w:p w14:paraId="27CCF6BD" w14:textId="78045A19" w:rsidR="005E2AF4" w:rsidRDefault="005E2A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D49B7">
        <w:t xml:space="preserve">Zems kopējās likviditātes koeficients norāda, ka uzņēmumā var </w:t>
      </w:r>
      <w:r w:rsidR="00D7334F">
        <w:t>rasties</w:t>
      </w:r>
      <w:r w:rsidR="00D7334F" w:rsidRPr="001D49B7">
        <w:t xml:space="preserve"> </w:t>
      </w:r>
      <w:r w:rsidRPr="001D49B7">
        <w:t xml:space="preserve">grūtības īstermiņa saistību </w:t>
      </w:r>
      <w:r w:rsidR="00D7334F">
        <w:t>segšanai</w:t>
      </w:r>
      <w:r w:rsidRPr="001D49B7">
        <w:t>.</w:t>
      </w:r>
      <w:r>
        <w:t xml:space="preserve"> </w:t>
      </w:r>
      <w:r w:rsidRPr="001D49B7">
        <w:t>Tiek uzskatīts, ka normālos apstākļos šim koeficientam jābūt robežās starp 1,0 un 2,0.</w:t>
      </w:r>
      <w:r>
        <w:t xml:space="preserve"> (</w:t>
      </w:r>
      <w:hyperlink r:id="rId2" w:history="1">
        <w:r w:rsidRPr="001D49B7">
          <w:rPr>
            <w:rStyle w:val="Hyperlink"/>
          </w:rPr>
          <w:t>saite</w:t>
        </w:r>
      </w:hyperlink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6D7D"/>
    <w:multiLevelType w:val="hybridMultilevel"/>
    <w:tmpl w:val="EC4476F2"/>
    <w:lvl w:ilvl="0" w:tplc="198C507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2E2D28C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B6C6AA1"/>
    <w:multiLevelType w:val="hybridMultilevel"/>
    <w:tmpl w:val="021C4C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B28AC"/>
    <w:multiLevelType w:val="hybridMultilevel"/>
    <w:tmpl w:val="3050E0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295358">
    <w:abstractNumId w:val="1"/>
  </w:num>
  <w:num w:numId="2" w16cid:durableId="1026752777">
    <w:abstractNumId w:val="1"/>
  </w:num>
  <w:num w:numId="3" w16cid:durableId="1330714669">
    <w:abstractNumId w:val="2"/>
  </w:num>
  <w:num w:numId="4" w16cid:durableId="544291061">
    <w:abstractNumId w:val="3"/>
  </w:num>
  <w:num w:numId="5" w16cid:durableId="8774714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08"/>
  <w:drawingGridVerticalSpacing w:val="181"/>
  <w:displayHorizontalDrawingGridEvery w:val="2"/>
  <w:displayVerticalDrawingGridEvery w:val="2"/>
  <w:doNotUseMarginsForDrawingGridOrigin/>
  <w:drawingGridHorizontalOrigin w:val="1418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41"/>
    <w:rsid w:val="000007A6"/>
    <w:rsid w:val="00001F5B"/>
    <w:rsid w:val="00023524"/>
    <w:rsid w:val="0002667E"/>
    <w:rsid w:val="00031074"/>
    <w:rsid w:val="00045325"/>
    <w:rsid w:val="0005624E"/>
    <w:rsid w:val="00060DD0"/>
    <w:rsid w:val="00065789"/>
    <w:rsid w:val="00072DC7"/>
    <w:rsid w:val="00075444"/>
    <w:rsid w:val="00091ADA"/>
    <w:rsid w:val="00097C89"/>
    <w:rsid w:val="000A6D18"/>
    <w:rsid w:val="000B29ED"/>
    <w:rsid w:val="000B3317"/>
    <w:rsid w:val="000C07B9"/>
    <w:rsid w:val="000C4BE7"/>
    <w:rsid w:val="000C4CC5"/>
    <w:rsid w:val="000D258B"/>
    <w:rsid w:val="000E54CE"/>
    <w:rsid w:val="000F2400"/>
    <w:rsid w:val="000F72EE"/>
    <w:rsid w:val="00106814"/>
    <w:rsid w:val="0011242C"/>
    <w:rsid w:val="001316C5"/>
    <w:rsid w:val="00131CFE"/>
    <w:rsid w:val="0014123A"/>
    <w:rsid w:val="0014152D"/>
    <w:rsid w:val="001416BE"/>
    <w:rsid w:val="001538E4"/>
    <w:rsid w:val="0015431F"/>
    <w:rsid w:val="00170198"/>
    <w:rsid w:val="0017178D"/>
    <w:rsid w:val="00183AB4"/>
    <w:rsid w:val="001A0492"/>
    <w:rsid w:val="001A0D01"/>
    <w:rsid w:val="001D0960"/>
    <w:rsid w:val="001D4689"/>
    <w:rsid w:val="001D49B7"/>
    <w:rsid w:val="001D4B74"/>
    <w:rsid w:val="001F5FED"/>
    <w:rsid w:val="001F70D3"/>
    <w:rsid w:val="0020573D"/>
    <w:rsid w:val="00234934"/>
    <w:rsid w:val="00241AF6"/>
    <w:rsid w:val="002423D0"/>
    <w:rsid w:val="0024425F"/>
    <w:rsid w:val="002507FC"/>
    <w:rsid w:val="002547A7"/>
    <w:rsid w:val="00271099"/>
    <w:rsid w:val="0027223B"/>
    <w:rsid w:val="0028186E"/>
    <w:rsid w:val="0028564D"/>
    <w:rsid w:val="00295635"/>
    <w:rsid w:val="002A0AFA"/>
    <w:rsid w:val="002A2713"/>
    <w:rsid w:val="002B2925"/>
    <w:rsid w:val="002D42F3"/>
    <w:rsid w:val="002E19AC"/>
    <w:rsid w:val="002E2AF3"/>
    <w:rsid w:val="002E5675"/>
    <w:rsid w:val="002F5AAF"/>
    <w:rsid w:val="00302C96"/>
    <w:rsid w:val="00303797"/>
    <w:rsid w:val="00303B07"/>
    <w:rsid w:val="00305D22"/>
    <w:rsid w:val="0030712F"/>
    <w:rsid w:val="003104C5"/>
    <w:rsid w:val="003210D0"/>
    <w:rsid w:val="00324FFA"/>
    <w:rsid w:val="003355E5"/>
    <w:rsid w:val="003562CF"/>
    <w:rsid w:val="003649DE"/>
    <w:rsid w:val="00370D87"/>
    <w:rsid w:val="00372E25"/>
    <w:rsid w:val="00386664"/>
    <w:rsid w:val="00394D38"/>
    <w:rsid w:val="003A0A62"/>
    <w:rsid w:val="003A2925"/>
    <w:rsid w:val="003A6277"/>
    <w:rsid w:val="003B715A"/>
    <w:rsid w:val="003C6688"/>
    <w:rsid w:val="003D43D7"/>
    <w:rsid w:val="003D5FAC"/>
    <w:rsid w:val="003D69C5"/>
    <w:rsid w:val="003E7E46"/>
    <w:rsid w:val="003F26F5"/>
    <w:rsid w:val="0041170B"/>
    <w:rsid w:val="00421797"/>
    <w:rsid w:val="0043503D"/>
    <w:rsid w:val="00440117"/>
    <w:rsid w:val="00472957"/>
    <w:rsid w:val="00496F43"/>
    <w:rsid w:val="004A0BDB"/>
    <w:rsid w:val="004B49DC"/>
    <w:rsid w:val="004C1458"/>
    <w:rsid w:val="004D0A48"/>
    <w:rsid w:val="004D1497"/>
    <w:rsid w:val="004D6C79"/>
    <w:rsid w:val="004E5F23"/>
    <w:rsid w:val="004F00A1"/>
    <w:rsid w:val="004F0C78"/>
    <w:rsid w:val="004F3732"/>
    <w:rsid w:val="004F454D"/>
    <w:rsid w:val="004F56BF"/>
    <w:rsid w:val="004F74BA"/>
    <w:rsid w:val="00514054"/>
    <w:rsid w:val="00530588"/>
    <w:rsid w:val="00531C3C"/>
    <w:rsid w:val="00543B1E"/>
    <w:rsid w:val="00547C78"/>
    <w:rsid w:val="00561EA3"/>
    <w:rsid w:val="0057201C"/>
    <w:rsid w:val="005722F5"/>
    <w:rsid w:val="0058552C"/>
    <w:rsid w:val="005872C9"/>
    <w:rsid w:val="00595C77"/>
    <w:rsid w:val="00596789"/>
    <w:rsid w:val="005A7131"/>
    <w:rsid w:val="005B325D"/>
    <w:rsid w:val="005B6AAF"/>
    <w:rsid w:val="005C46A6"/>
    <w:rsid w:val="005E2340"/>
    <w:rsid w:val="005E2AF4"/>
    <w:rsid w:val="005E779E"/>
    <w:rsid w:val="005F1C63"/>
    <w:rsid w:val="005F2D96"/>
    <w:rsid w:val="005F3D7A"/>
    <w:rsid w:val="005F72EB"/>
    <w:rsid w:val="006060A3"/>
    <w:rsid w:val="00612180"/>
    <w:rsid w:val="00615060"/>
    <w:rsid w:val="0061528C"/>
    <w:rsid w:val="00624297"/>
    <w:rsid w:val="00625D0B"/>
    <w:rsid w:val="00627F01"/>
    <w:rsid w:val="006317C4"/>
    <w:rsid w:val="00643807"/>
    <w:rsid w:val="006468B5"/>
    <w:rsid w:val="00653EA4"/>
    <w:rsid w:val="0065568C"/>
    <w:rsid w:val="006575B5"/>
    <w:rsid w:val="00664610"/>
    <w:rsid w:val="00674636"/>
    <w:rsid w:val="006960C9"/>
    <w:rsid w:val="006A6D8E"/>
    <w:rsid w:val="006B0603"/>
    <w:rsid w:val="006C0831"/>
    <w:rsid w:val="006C292D"/>
    <w:rsid w:val="006C53D5"/>
    <w:rsid w:val="006D2C17"/>
    <w:rsid w:val="006E00E6"/>
    <w:rsid w:val="006E0881"/>
    <w:rsid w:val="006E48CC"/>
    <w:rsid w:val="006E7A74"/>
    <w:rsid w:val="00706C75"/>
    <w:rsid w:val="007107A9"/>
    <w:rsid w:val="00713F60"/>
    <w:rsid w:val="007204DA"/>
    <w:rsid w:val="007457D2"/>
    <w:rsid w:val="007601E7"/>
    <w:rsid w:val="00762C24"/>
    <w:rsid w:val="00767258"/>
    <w:rsid w:val="007C4201"/>
    <w:rsid w:val="007C731C"/>
    <w:rsid w:val="007D3973"/>
    <w:rsid w:val="00806880"/>
    <w:rsid w:val="0081792B"/>
    <w:rsid w:val="00821FCC"/>
    <w:rsid w:val="0083304B"/>
    <w:rsid w:val="0083480B"/>
    <w:rsid w:val="00834899"/>
    <w:rsid w:val="00841C2D"/>
    <w:rsid w:val="008719F9"/>
    <w:rsid w:val="0087656B"/>
    <w:rsid w:val="008824C9"/>
    <w:rsid w:val="00891D3A"/>
    <w:rsid w:val="00896F9D"/>
    <w:rsid w:val="008A4600"/>
    <w:rsid w:val="008C5B3B"/>
    <w:rsid w:val="008D6194"/>
    <w:rsid w:val="008E4A67"/>
    <w:rsid w:val="008E665D"/>
    <w:rsid w:val="008F0E01"/>
    <w:rsid w:val="008F708D"/>
    <w:rsid w:val="009104A3"/>
    <w:rsid w:val="0092007E"/>
    <w:rsid w:val="009201E0"/>
    <w:rsid w:val="00956ED0"/>
    <w:rsid w:val="00957668"/>
    <w:rsid w:val="009618BA"/>
    <w:rsid w:val="009660D2"/>
    <w:rsid w:val="00974AE6"/>
    <w:rsid w:val="00984049"/>
    <w:rsid w:val="009868DF"/>
    <w:rsid w:val="009927BF"/>
    <w:rsid w:val="009A052C"/>
    <w:rsid w:val="009A64C7"/>
    <w:rsid w:val="009B0B87"/>
    <w:rsid w:val="009B6A24"/>
    <w:rsid w:val="009C1599"/>
    <w:rsid w:val="009C377B"/>
    <w:rsid w:val="009C5AC2"/>
    <w:rsid w:val="009C70E0"/>
    <w:rsid w:val="009D3308"/>
    <w:rsid w:val="009D781B"/>
    <w:rsid w:val="00A03900"/>
    <w:rsid w:val="00A131B6"/>
    <w:rsid w:val="00A4393C"/>
    <w:rsid w:val="00A508C4"/>
    <w:rsid w:val="00A52B34"/>
    <w:rsid w:val="00A631E6"/>
    <w:rsid w:val="00A748BA"/>
    <w:rsid w:val="00A81F30"/>
    <w:rsid w:val="00AA382D"/>
    <w:rsid w:val="00AA796A"/>
    <w:rsid w:val="00AB3269"/>
    <w:rsid w:val="00AD0C38"/>
    <w:rsid w:val="00AE2AD9"/>
    <w:rsid w:val="00AF23FE"/>
    <w:rsid w:val="00B0197F"/>
    <w:rsid w:val="00B07709"/>
    <w:rsid w:val="00B12134"/>
    <w:rsid w:val="00B13439"/>
    <w:rsid w:val="00B15B8B"/>
    <w:rsid w:val="00B17DFF"/>
    <w:rsid w:val="00B27BE3"/>
    <w:rsid w:val="00B30820"/>
    <w:rsid w:val="00B56CB8"/>
    <w:rsid w:val="00B7036F"/>
    <w:rsid w:val="00B811E8"/>
    <w:rsid w:val="00B82694"/>
    <w:rsid w:val="00B86853"/>
    <w:rsid w:val="00B92657"/>
    <w:rsid w:val="00BA1A6D"/>
    <w:rsid w:val="00BB00B7"/>
    <w:rsid w:val="00BB521B"/>
    <w:rsid w:val="00BC16D4"/>
    <w:rsid w:val="00BC31C6"/>
    <w:rsid w:val="00BD08BF"/>
    <w:rsid w:val="00BD2168"/>
    <w:rsid w:val="00BE3A31"/>
    <w:rsid w:val="00C319C1"/>
    <w:rsid w:val="00C36431"/>
    <w:rsid w:val="00C37BF1"/>
    <w:rsid w:val="00C5159D"/>
    <w:rsid w:val="00C57C31"/>
    <w:rsid w:val="00C62127"/>
    <w:rsid w:val="00C622FD"/>
    <w:rsid w:val="00C762CB"/>
    <w:rsid w:val="00C76C5D"/>
    <w:rsid w:val="00C80150"/>
    <w:rsid w:val="00C9147A"/>
    <w:rsid w:val="00CB4893"/>
    <w:rsid w:val="00CC5ECB"/>
    <w:rsid w:val="00CD2437"/>
    <w:rsid w:val="00CE0771"/>
    <w:rsid w:val="00D00459"/>
    <w:rsid w:val="00D012A0"/>
    <w:rsid w:val="00D11A00"/>
    <w:rsid w:val="00D2127F"/>
    <w:rsid w:val="00D21F05"/>
    <w:rsid w:val="00D243A3"/>
    <w:rsid w:val="00D433AC"/>
    <w:rsid w:val="00D549C4"/>
    <w:rsid w:val="00D71D41"/>
    <w:rsid w:val="00D72C55"/>
    <w:rsid w:val="00D7334F"/>
    <w:rsid w:val="00D83A19"/>
    <w:rsid w:val="00D9203A"/>
    <w:rsid w:val="00DC1E98"/>
    <w:rsid w:val="00DC4035"/>
    <w:rsid w:val="00DD6C3F"/>
    <w:rsid w:val="00DD74F7"/>
    <w:rsid w:val="00DE6BD4"/>
    <w:rsid w:val="00DE7BF1"/>
    <w:rsid w:val="00DF7513"/>
    <w:rsid w:val="00DF759F"/>
    <w:rsid w:val="00E01E41"/>
    <w:rsid w:val="00E03C32"/>
    <w:rsid w:val="00E07B73"/>
    <w:rsid w:val="00E1091D"/>
    <w:rsid w:val="00E138CF"/>
    <w:rsid w:val="00E35FE9"/>
    <w:rsid w:val="00E41EB4"/>
    <w:rsid w:val="00E51622"/>
    <w:rsid w:val="00E534E8"/>
    <w:rsid w:val="00E64F34"/>
    <w:rsid w:val="00E66A66"/>
    <w:rsid w:val="00E67F1B"/>
    <w:rsid w:val="00E82A17"/>
    <w:rsid w:val="00E85CC7"/>
    <w:rsid w:val="00E95CE5"/>
    <w:rsid w:val="00EA47AF"/>
    <w:rsid w:val="00EB67D7"/>
    <w:rsid w:val="00EC3536"/>
    <w:rsid w:val="00EC4A87"/>
    <w:rsid w:val="00ED2580"/>
    <w:rsid w:val="00ED3837"/>
    <w:rsid w:val="00ED4311"/>
    <w:rsid w:val="00EE4A9C"/>
    <w:rsid w:val="00EF0731"/>
    <w:rsid w:val="00EF13F4"/>
    <w:rsid w:val="00F214AC"/>
    <w:rsid w:val="00F25050"/>
    <w:rsid w:val="00F2535C"/>
    <w:rsid w:val="00F41092"/>
    <w:rsid w:val="00F54F6B"/>
    <w:rsid w:val="00F55A12"/>
    <w:rsid w:val="00F620B4"/>
    <w:rsid w:val="00F6326D"/>
    <w:rsid w:val="00F6442A"/>
    <w:rsid w:val="00F65C4E"/>
    <w:rsid w:val="00F716E9"/>
    <w:rsid w:val="00F71A86"/>
    <w:rsid w:val="00F729AA"/>
    <w:rsid w:val="00F77B1A"/>
    <w:rsid w:val="00F9140D"/>
    <w:rsid w:val="00F96490"/>
    <w:rsid w:val="00FD1EE2"/>
    <w:rsid w:val="00FD2BA7"/>
    <w:rsid w:val="00FD30CD"/>
    <w:rsid w:val="00FE158D"/>
    <w:rsid w:val="00FE666C"/>
    <w:rsid w:val="00FF21D2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86FD"/>
  <w15:chartTrackingRefBased/>
  <w15:docId w15:val="{1ACF5FF6-4C16-4DB1-981D-BBC58311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9D"/>
    <w:pPr>
      <w:spacing w:before="120" w:after="1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22FD"/>
    <w:pPr>
      <w:keepNext/>
      <w:keepLines/>
      <w:pBdr>
        <w:bottom w:val="single" w:sz="4" w:space="1" w:color="595959" w:themeColor="text1" w:themeTint="A6"/>
      </w:pBdr>
      <w:spacing w:before="360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308"/>
    <w:pPr>
      <w:keepNext/>
      <w:keepLines/>
      <w:spacing w:before="360"/>
      <w:jc w:val="left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308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060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603"/>
    <w:pPr>
      <w:keepNext/>
      <w:keepLines/>
      <w:numPr>
        <w:ilvl w:val="4"/>
        <w:numId w:val="1"/>
      </w:numPr>
      <w:spacing w:before="200" w:after="0"/>
      <w:ind w:left="1009" w:hanging="1009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60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60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60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60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2FD"/>
    <w:rPr>
      <w:rFonts w:asciiTheme="majorHAnsi" w:eastAsiaTheme="majorEastAsia" w:hAnsiTheme="majorHAnsi" w:cstheme="majorBidi"/>
      <w:b/>
      <w:bCs/>
      <w:color w:val="000000" w:themeColor="text1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D330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D330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6B060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603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7A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7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7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7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7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91AD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ADA"/>
    <w:rPr>
      <w:rFonts w:asciiTheme="majorHAnsi" w:eastAsiaTheme="majorEastAsia" w:hAnsiTheme="majorHAnsi" w:cstheme="majorBidi"/>
      <w:b/>
      <w:bCs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ADA"/>
    <w:pPr>
      <w:numPr>
        <w:ilvl w:val="1"/>
      </w:numPr>
      <w:jc w:val="center"/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091ADA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EA47AF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EA47AF"/>
    <w:rPr>
      <w:i/>
      <w:iCs/>
      <w:color w:val="auto"/>
    </w:rPr>
  </w:style>
  <w:style w:type="paragraph" w:styleId="NoSpacing">
    <w:name w:val="No Spacing"/>
    <w:uiPriority w:val="1"/>
    <w:qFormat/>
    <w:rsid w:val="00EA47AF"/>
    <w:pPr>
      <w:spacing w:after="0" w:line="240" w:lineRule="auto"/>
    </w:p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A47AF"/>
    <w:pPr>
      <w:ind w:left="720"/>
      <w:contextualSpacing/>
    </w:pPr>
  </w:style>
  <w:style w:type="character" w:customStyle="1" w:styleId="ListParagraphChar">
    <w:name w:val="List Paragraph Char"/>
    <w:aliases w:val="2 Char"/>
    <w:link w:val="ListParagraph"/>
    <w:uiPriority w:val="34"/>
    <w:locked/>
    <w:rsid w:val="00EA47AF"/>
  </w:style>
  <w:style w:type="paragraph" w:styleId="Quote">
    <w:name w:val="Quote"/>
    <w:basedOn w:val="Normal"/>
    <w:next w:val="Normal"/>
    <w:link w:val="QuoteChar"/>
    <w:uiPriority w:val="29"/>
    <w:qFormat/>
    <w:rsid w:val="00EA47A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A47A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7A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7AF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EA47A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A47AF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EA47A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A47A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A47AF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7AF"/>
    <w:pPr>
      <w:outlineLvl w:val="9"/>
    </w:pPr>
  </w:style>
  <w:style w:type="paragraph" w:customStyle="1" w:styleId="Avots">
    <w:name w:val="Avots"/>
    <w:basedOn w:val="Normal"/>
    <w:qFormat/>
    <w:rsid w:val="006E0881"/>
    <w:pPr>
      <w:spacing w:before="0"/>
    </w:pPr>
    <w:rPr>
      <w:sz w:val="16"/>
    </w:rPr>
  </w:style>
  <w:style w:type="paragraph" w:customStyle="1" w:styleId="Attls">
    <w:name w:val="Attēls"/>
    <w:basedOn w:val="Normal"/>
    <w:qFormat/>
    <w:rsid w:val="006575B5"/>
    <w:pPr>
      <w:keepNext/>
      <w:keepLines/>
      <w:spacing w:before="0" w:after="0"/>
    </w:pPr>
    <w:rPr>
      <w:noProof/>
    </w:rPr>
  </w:style>
  <w:style w:type="paragraph" w:customStyle="1" w:styleId="Boxtext">
    <w:name w:val="Box text"/>
    <w:basedOn w:val="Normal"/>
    <w:qFormat/>
    <w:rsid w:val="0041170B"/>
    <w:pPr>
      <w:spacing w:before="0" w:after="0" w:line="240" w:lineRule="auto"/>
      <w:jc w:val="left"/>
    </w:pPr>
    <w:rPr>
      <w:sz w:val="12"/>
    </w:rPr>
  </w:style>
  <w:style w:type="table" w:styleId="TableGrid">
    <w:name w:val="Table Grid"/>
    <w:basedOn w:val="TableNormal"/>
    <w:uiPriority w:val="39"/>
    <w:rsid w:val="0097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065789"/>
    <w:pPr>
      <w:spacing w:before="0" w:after="0" w:line="240" w:lineRule="auto"/>
      <w:jc w:val="left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8F70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8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6C7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C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6C7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B715A"/>
    <w:rPr>
      <w:color w:val="954F72" w:themeColor="followedHyperlink"/>
      <w:u w:val="single"/>
    </w:rPr>
  </w:style>
  <w:style w:type="paragraph" w:customStyle="1" w:styleId="Attlanosaukums">
    <w:name w:val="Attēla nosaukums"/>
    <w:basedOn w:val="Normal"/>
    <w:qFormat/>
    <w:rsid w:val="00372E25"/>
    <w:pPr>
      <w:keepNext/>
      <w:keepLines/>
      <w:spacing w:before="0" w:after="0"/>
      <w:jc w:val="right"/>
    </w:pPr>
    <w:rPr>
      <w:b/>
      <w:bCs/>
      <w:sz w:val="20"/>
      <w:szCs w:val="20"/>
    </w:rPr>
  </w:style>
  <w:style w:type="paragraph" w:customStyle="1" w:styleId="Tabulasnosaukums">
    <w:name w:val="Tabulas nosaukums"/>
    <w:basedOn w:val="Attlanosaukums"/>
    <w:qFormat/>
    <w:rsid w:val="003F26F5"/>
  </w:style>
  <w:style w:type="paragraph" w:styleId="Revision">
    <w:name w:val="Revision"/>
    <w:hidden/>
    <w:uiPriority w:val="99"/>
    <w:semiHidden/>
    <w:rsid w:val="009660D2"/>
    <w:pPr>
      <w:spacing w:after="0" w:line="240" w:lineRule="auto"/>
    </w:pPr>
  </w:style>
  <w:style w:type="paragraph" w:customStyle="1" w:styleId="Piezme">
    <w:name w:val="Piezīme"/>
    <w:basedOn w:val="Avots"/>
    <w:qFormat/>
    <w:rsid w:val="007204DA"/>
    <w:pPr>
      <w:keepNext/>
      <w:keepLine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.europa.eu/eurostat/databrowser/view/nama_10_gdp__custom_12582994/default/table?lang=en" TargetMode="External"/><Relationship Id="rId18" Type="http://schemas.openxmlformats.org/officeDocument/2006/relationships/hyperlink" Target="https://ec.europa.eu/eurostat/databrowser/view/nama_10_gdp__custom_12582782/default/table?lang=en" TargetMode="External"/><Relationship Id="rId26" Type="http://schemas.openxmlformats.org/officeDocument/2006/relationships/chart" Target="charts/chart6.xml"/><Relationship Id="rId39" Type="http://schemas.openxmlformats.org/officeDocument/2006/relationships/chart" Target="charts/chart9.xml"/><Relationship Id="rId21" Type="http://schemas.openxmlformats.org/officeDocument/2006/relationships/hyperlink" Target="https://ec.europa.eu/eurostat/databrowser/view/nama_10_gdp__custom_12582994/default/table?lang=en" TargetMode="External"/><Relationship Id="rId34" Type="http://schemas.openxmlformats.org/officeDocument/2006/relationships/chart" Target="charts/chart8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c.europa.eu/eurostat/databrowser/view/prc_hicp_aind__custom_12582763/default/table?lang=en" TargetMode="External"/><Relationship Id="rId20" Type="http://schemas.openxmlformats.org/officeDocument/2006/relationships/hyperlink" Target="https://ec.europa.eu/eurostat/databrowser/view/prc_hicp_aind__custom_12582763/default/table?lang=en" TargetMode="External"/><Relationship Id="rId29" Type="http://schemas.openxmlformats.org/officeDocument/2006/relationships/hyperlink" Target="https://osp.stat.gov.lt/" TargetMode="External"/><Relationship Id="rId41" Type="http://schemas.openxmlformats.org/officeDocument/2006/relationships/hyperlink" Target="https://finmin.lrv.lt/uploads/finmin/documents/files/2023_BUDGET%20AT%20A%20GLANCE_ENG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stat/databrowser/view/une_rt_a__custom_12582822/default/table?lang=en" TargetMode="External"/><Relationship Id="rId24" Type="http://schemas.openxmlformats.org/officeDocument/2006/relationships/hyperlink" Target="https://static.eurofound.europa.eu/covid19db/cases/LT-2021-26_1956.html" TargetMode="External"/><Relationship Id="rId32" Type="http://schemas.openxmlformats.org/officeDocument/2006/relationships/hyperlink" Target="https://stat.gov.lv/lv" TargetMode="External"/><Relationship Id="rId37" Type="http://schemas.openxmlformats.org/officeDocument/2006/relationships/hyperlink" Target="https://osp.stat.gov.lt/" TargetMode="External"/><Relationship Id="rId40" Type="http://schemas.openxmlformats.org/officeDocument/2006/relationships/chart" Target="charts/chart10.xm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eurostat/databrowser/view/une_rt_a__custom_12582822/default/table?lang=en" TargetMode="External"/><Relationship Id="rId23" Type="http://schemas.openxmlformats.org/officeDocument/2006/relationships/chart" Target="charts/chart4.xml"/><Relationship Id="rId28" Type="http://schemas.openxmlformats.org/officeDocument/2006/relationships/hyperlink" Target="https://stat.gov.lv/lv" TargetMode="External"/><Relationship Id="rId36" Type="http://schemas.openxmlformats.org/officeDocument/2006/relationships/hyperlink" Target="https://stat.gov.lv/lv" TargetMode="External"/><Relationship Id="rId10" Type="http://schemas.openxmlformats.org/officeDocument/2006/relationships/hyperlink" Target="https://ec.europa.eu/eurostat/databrowser/view/nama_10_gdp__custom_12582782/default/table?lang=en" TargetMode="External"/><Relationship Id="rId19" Type="http://schemas.openxmlformats.org/officeDocument/2006/relationships/hyperlink" Target="https://ec.europa.eu/eurostat/databrowser/view/une_rt_a__custom_12582822/default/table?lang=en" TargetMode="External"/><Relationship Id="rId31" Type="http://schemas.openxmlformats.org/officeDocument/2006/relationships/hyperlink" Target="https://www.stat.ee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ec.europa.eu/eurostat/databrowser/view/nama_10_gdp__custom_12582782/default/table?lang=en" TargetMode="External"/><Relationship Id="rId22" Type="http://schemas.openxmlformats.org/officeDocument/2006/relationships/chart" Target="charts/chart3.xml"/><Relationship Id="rId27" Type="http://schemas.openxmlformats.org/officeDocument/2006/relationships/hyperlink" Target="https://www.stat.ee/" TargetMode="External"/><Relationship Id="rId30" Type="http://schemas.openxmlformats.org/officeDocument/2006/relationships/chart" Target="charts/chart7.xml"/><Relationship Id="rId35" Type="http://schemas.openxmlformats.org/officeDocument/2006/relationships/hyperlink" Target="https://www.stat.ee/" TargetMode="External"/><Relationship Id="rId43" Type="http://schemas.openxmlformats.org/officeDocument/2006/relationships/theme" Target="theme/theme1.xml"/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12" Type="http://schemas.openxmlformats.org/officeDocument/2006/relationships/hyperlink" Target="https://ec.europa.eu/eurostat/databrowser/view/prc_hicp_aind__custom_12582763/default/table?lang=en" TargetMode="External"/><Relationship Id="rId17" Type="http://schemas.openxmlformats.org/officeDocument/2006/relationships/hyperlink" Target="https://ec.europa.eu/eurostat/databrowser/view/nama_10_gdp__custom_12582994/default/table?lang=en" TargetMode="External"/><Relationship Id="rId25" Type="http://schemas.openxmlformats.org/officeDocument/2006/relationships/chart" Target="charts/chart5.xml"/><Relationship Id="rId33" Type="http://schemas.openxmlformats.org/officeDocument/2006/relationships/hyperlink" Target="https://osp.stat.gov.lt/" TargetMode="External"/><Relationship Id="rId38" Type="http://schemas.openxmlformats.org/officeDocument/2006/relationships/hyperlink" Target="https://kaunas.kasvyksta.lt/2024/04/19/politika/m-linge-pvm-tarifas-maitinimo-sektoriuje-ne-padidintas-o-grazintas-i-priespandemini-lygi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tat.gov.lv/lv/metadati/8090-komersantu-finansialie-un-finansu-analizes-raditaji/det" TargetMode="External"/><Relationship Id="rId1" Type="http://schemas.openxmlformats.org/officeDocument/2006/relationships/hyperlink" Target="https://stat.gov.lv/lv/metadati/8090-komersantu-finansialie-un-finansu-analizes-raditaji/de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1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Sheet1!$A$5</c:f>
              <c:strCache>
                <c:ptCount val="1"/>
                <c:pt idx="0">
                  <c:v>Igaunija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Sheet1!$B$3:$AG$4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  <c:pt idx="28">
                    <c:v>2024</c:v>
                  </c:pt>
                </c:lvl>
              </c:multiLvlStrCache>
            </c:multiLvlStrRef>
          </c:cat>
          <c:val>
            <c:numRef>
              <c:f>Sheet1!$B$5:$AG$5</c:f>
              <c:numCache>
                <c:formatCode>#\ ##0.0</c:formatCode>
                <c:ptCount val="32"/>
                <c:pt idx="0">
                  <c:v>99.4</c:v>
                </c:pt>
                <c:pt idx="1">
                  <c:v>112.7</c:v>
                </c:pt>
                <c:pt idx="2">
                  <c:v>120.1</c:v>
                </c:pt>
                <c:pt idx="3">
                  <c:v>110.4</c:v>
                </c:pt>
                <c:pt idx="4">
                  <c:v>106</c:v>
                </c:pt>
                <c:pt idx="5">
                  <c:v>122.8</c:v>
                </c:pt>
                <c:pt idx="6">
                  <c:v>133.5</c:v>
                </c:pt>
                <c:pt idx="7">
                  <c:v>122.1</c:v>
                </c:pt>
                <c:pt idx="8">
                  <c:v>114.5</c:v>
                </c:pt>
                <c:pt idx="9">
                  <c:v>134.19999999999999</c:v>
                </c:pt>
                <c:pt idx="10">
                  <c:v>139.80000000000001</c:v>
                </c:pt>
                <c:pt idx="11">
                  <c:v>131</c:v>
                </c:pt>
                <c:pt idx="12">
                  <c:v>96.2</c:v>
                </c:pt>
                <c:pt idx="13">
                  <c:v>65</c:v>
                </c:pt>
                <c:pt idx="14">
                  <c:v>114.8</c:v>
                </c:pt>
                <c:pt idx="15">
                  <c:v>89.8</c:v>
                </c:pt>
                <c:pt idx="16">
                  <c:v>68</c:v>
                </c:pt>
                <c:pt idx="17">
                  <c:v>89.2</c:v>
                </c:pt>
                <c:pt idx="18">
                  <c:v>133.1</c:v>
                </c:pt>
                <c:pt idx="19">
                  <c:v>109.6</c:v>
                </c:pt>
                <c:pt idx="20">
                  <c:v>108.6</c:v>
                </c:pt>
                <c:pt idx="21">
                  <c:v>154.1</c:v>
                </c:pt>
                <c:pt idx="22">
                  <c:v>176.2</c:v>
                </c:pt>
                <c:pt idx="23">
                  <c:v>157.6</c:v>
                </c:pt>
                <c:pt idx="24">
                  <c:v>145.9</c:v>
                </c:pt>
                <c:pt idx="25">
                  <c:v>175.4</c:v>
                </c:pt>
                <c:pt idx="26">
                  <c:v>190.9</c:v>
                </c:pt>
                <c:pt idx="27">
                  <c:v>170.6</c:v>
                </c:pt>
                <c:pt idx="28">
                  <c:v>151.80000000000001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874-4354-8AF7-F2C4122D364E}"/>
            </c:ext>
          </c:extLst>
        </c:ser>
        <c:ser>
          <c:idx val="1"/>
          <c:order val="1"/>
          <c:tx>
            <c:strRef>
              <c:f>Sheet1!$A$6</c:f>
              <c:strCache>
                <c:ptCount val="1"/>
                <c:pt idx="0">
                  <c:v>Latvija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Sheet1!$B$3:$AG$4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  <c:pt idx="28">
                    <c:v>2024</c:v>
                  </c:pt>
                </c:lvl>
              </c:multiLvlStrCache>
            </c:multiLvlStrRef>
          </c:cat>
          <c:val>
            <c:numRef>
              <c:f>Sheet1!$B$6:$AG$6</c:f>
              <c:numCache>
                <c:formatCode>#\ ##0.0</c:formatCode>
                <c:ptCount val="32"/>
                <c:pt idx="0">
                  <c:v>104.8</c:v>
                </c:pt>
                <c:pt idx="1">
                  <c:v>123.4</c:v>
                </c:pt>
                <c:pt idx="2">
                  <c:v>138.19999999999999</c:v>
                </c:pt>
                <c:pt idx="3">
                  <c:v>121.2</c:v>
                </c:pt>
                <c:pt idx="4">
                  <c:v>113.3</c:v>
                </c:pt>
                <c:pt idx="5">
                  <c:v>133.4</c:v>
                </c:pt>
                <c:pt idx="6">
                  <c:v>145.6</c:v>
                </c:pt>
                <c:pt idx="7">
                  <c:v>124.5</c:v>
                </c:pt>
                <c:pt idx="8">
                  <c:v>126.6</c:v>
                </c:pt>
                <c:pt idx="9">
                  <c:v>154.80000000000001</c:v>
                </c:pt>
                <c:pt idx="10">
                  <c:v>169.4</c:v>
                </c:pt>
                <c:pt idx="11">
                  <c:v>147.80000000000001</c:v>
                </c:pt>
                <c:pt idx="12">
                  <c:v>126</c:v>
                </c:pt>
                <c:pt idx="13">
                  <c:v>72</c:v>
                </c:pt>
                <c:pt idx="14">
                  <c:v>135.30000000000001</c:v>
                </c:pt>
                <c:pt idx="15">
                  <c:v>86.2</c:v>
                </c:pt>
                <c:pt idx="16">
                  <c:v>63.3</c:v>
                </c:pt>
                <c:pt idx="17">
                  <c:v>95.1</c:v>
                </c:pt>
                <c:pt idx="18">
                  <c:v>136.4</c:v>
                </c:pt>
                <c:pt idx="19">
                  <c:v>105.1</c:v>
                </c:pt>
                <c:pt idx="20">
                  <c:v>126.5</c:v>
                </c:pt>
                <c:pt idx="21">
                  <c:v>186.6</c:v>
                </c:pt>
                <c:pt idx="22">
                  <c:v>217.3</c:v>
                </c:pt>
                <c:pt idx="23">
                  <c:v>203.5</c:v>
                </c:pt>
                <c:pt idx="24">
                  <c:v>194.7</c:v>
                </c:pt>
                <c:pt idx="25">
                  <c:v>229.5</c:v>
                </c:pt>
                <c:pt idx="26">
                  <c:v>252.9</c:v>
                </c:pt>
                <c:pt idx="27">
                  <c:v>235</c:v>
                </c:pt>
                <c:pt idx="28">
                  <c:v>205.6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874-4354-8AF7-F2C4122D364E}"/>
            </c:ext>
          </c:extLst>
        </c:ser>
        <c:ser>
          <c:idx val="2"/>
          <c:order val="2"/>
          <c:tx>
            <c:strRef>
              <c:f>Sheet1!$A$7</c:f>
              <c:strCache>
                <c:ptCount val="1"/>
                <c:pt idx="0">
                  <c:v>Lietuva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multiLvlStrRef>
              <c:f>Sheet1!$B$3:$AG$4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  <c:pt idx="28">
                    <c:v>2024</c:v>
                  </c:pt>
                </c:lvl>
              </c:multiLvlStrCache>
            </c:multiLvlStrRef>
          </c:cat>
          <c:val>
            <c:numRef>
              <c:f>Sheet1!$B$7:$AG$7</c:f>
              <c:numCache>
                <c:formatCode>#\ ##0.0</c:formatCode>
                <c:ptCount val="32"/>
                <c:pt idx="0">
                  <c:v>66.400000000000006</c:v>
                </c:pt>
                <c:pt idx="1">
                  <c:v>76.900000000000006</c:v>
                </c:pt>
                <c:pt idx="2">
                  <c:v>83.1</c:v>
                </c:pt>
                <c:pt idx="3">
                  <c:v>77.7</c:v>
                </c:pt>
                <c:pt idx="4">
                  <c:v>77.7</c:v>
                </c:pt>
                <c:pt idx="5">
                  <c:v>90.3</c:v>
                </c:pt>
                <c:pt idx="6">
                  <c:v>101.7</c:v>
                </c:pt>
                <c:pt idx="7">
                  <c:v>90.7</c:v>
                </c:pt>
                <c:pt idx="8">
                  <c:v>84.7</c:v>
                </c:pt>
                <c:pt idx="9">
                  <c:v>101.3</c:v>
                </c:pt>
                <c:pt idx="10">
                  <c:v>115.3</c:v>
                </c:pt>
                <c:pt idx="11">
                  <c:v>103.4</c:v>
                </c:pt>
                <c:pt idx="12">
                  <c:v>80.599999999999994</c:v>
                </c:pt>
                <c:pt idx="13">
                  <c:v>59</c:v>
                </c:pt>
                <c:pt idx="14">
                  <c:v>111.9</c:v>
                </c:pt>
                <c:pt idx="15">
                  <c:v>65</c:v>
                </c:pt>
                <c:pt idx="16">
                  <c:v>46.1</c:v>
                </c:pt>
                <c:pt idx="17">
                  <c:v>82.5</c:v>
                </c:pt>
                <c:pt idx="18">
                  <c:v>146.9</c:v>
                </c:pt>
                <c:pt idx="19">
                  <c:v>124.6</c:v>
                </c:pt>
                <c:pt idx="20">
                  <c:v>124.3</c:v>
                </c:pt>
                <c:pt idx="21">
                  <c:v>162.19999999999999</c:v>
                </c:pt>
                <c:pt idx="22">
                  <c:v>191.6</c:v>
                </c:pt>
                <c:pt idx="23">
                  <c:v>165.2</c:v>
                </c:pt>
                <c:pt idx="24">
                  <c:v>162.1</c:v>
                </c:pt>
                <c:pt idx="25">
                  <c:v>192.9</c:v>
                </c:pt>
                <c:pt idx="26">
                  <c:v>212.6</c:v>
                </c:pt>
                <c:pt idx="27">
                  <c:v>183.8</c:v>
                </c:pt>
                <c:pt idx="28">
                  <c:v>165.4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874-4354-8AF7-F2C4122D36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7891136"/>
        <c:axId val="447890656"/>
      </c:lineChart>
      <c:catAx>
        <c:axId val="44789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0656"/>
        <c:crosses val="autoZero"/>
        <c:auto val="1"/>
        <c:lblAlgn val="ctr"/>
        <c:lblOffset val="100"/>
        <c:noMultiLvlLbl val="0"/>
      </c:catAx>
      <c:valAx>
        <c:axId val="447890656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v-LV"/>
                  <a:t>indekss</a:t>
                </a:r>
                <a:r>
                  <a:rPr lang="lv-LV" baseline="30000"/>
                  <a:t>1</a:t>
                </a:r>
                <a:r>
                  <a:rPr lang="lv-LV"/>
                  <a:t>, 2021=100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lv-LV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891559488798841"/>
          <c:y val="8.9361465667179757E-2"/>
          <c:w val="0.76358199953921402"/>
          <c:h val="0.59421707834888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Sheet1!$A$5</c:f>
              <c:strCache>
                <c:ptCount val="1"/>
                <c:pt idx="0">
                  <c:v>Igaunija</c:v>
                </c:pt>
              </c:strCache>
            </c:strRef>
          </c:tx>
          <c:spPr>
            <a:solidFill>
              <a:schemeClr val="accent1"/>
            </a:solidFill>
            <a:ln w="19050">
              <a:noFill/>
            </a:ln>
            <a:effectLst/>
          </c:spPr>
          <c:invertIfNegative val="0"/>
          <c:cat>
            <c:numRef>
              <c:f>Sheet1!$B$4:$F$4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Sheet1!$B$5:$F$5</c:f>
              <c:numCache>
                <c:formatCode>#\ ##0.0</c:formatCode>
                <c:ptCount val="5"/>
                <c:pt idx="0">
                  <c:v>55.534383630000008</c:v>
                </c:pt>
                <c:pt idx="1">
                  <c:v>41.999098600000025</c:v>
                </c:pt>
                <c:pt idx="2">
                  <c:v>43.178847420000018</c:v>
                </c:pt>
                <c:pt idx="3">
                  <c:v>65.911027329999996</c:v>
                </c:pt>
                <c:pt idx="4">
                  <c:v>80.577266519999981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5B-4BF7-9A9B-30CB56E878B9}"/>
            </c:ext>
          </c:extLst>
        </c:ser>
        <c:ser>
          <c:idx val="1"/>
          <c:order val="1"/>
          <c:tx>
            <c:strRef>
              <c:f>Sheet1!$A$6</c:f>
              <c:strCache>
                <c:ptCount val="1"/>
                <c:pt idx="0">
                  <c:v>Lavija</c:v>
                </c:pt>
              </c:strCache>
            </c:strRef>
          </c:tx>
          <c:spPr>
            <a:solidFill>
              <a:schemeClr val="accent2"/>
            </a:solidFill>
            <a:ln w="19050">
              <a:noFill/>
            </a:ln>
            <a:effectLst/>
          </c:spPr>
          <c:invertIfNegative val="0"/>
          <c:cat>
            <c:numRef>
              <c:f>Sheet1!$B$4:$F$4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Sheet1!$B$6:$F$6</c:f>
              <c:numCache>
                <c:formatCode>#\ ##0.0</c:formatCode>
                <c:ptCount val="5"/>
                <c:pt idx="0">
                  <c:v>53.990877300000008</c:v>
                </c:pt>
                <c:pt idx="1">
                  <c:v>38.886047020000007</c:v>
                </c:pt>
                <c:pt idx="2">
                  <c:v>33.081133989999998</c:v>
                </c:pt>
                <c:pt idx="3">
                  <c:v>66.604387430000003</c:v>
                </c:pt>
                <c:pt idx="4">
                  <c:v>89.092438659999999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5B-4BF7-9A9B-30CB56E878B9}"/>
            </c:ext>
          </c:extLst>
        </c:ser>
        <c:ser>
          <c:idx val="2"/>
          <c:order val="2"/>
          <c:tx>
            <c:strRef>
              <c:f>Sheet1!$A$7</c:f>
              <c:strCache>
                <c:ptCount val="1"/>
                <c:pt idx="0">
                  <c:v>Lietuva</c:v>
                </c:pt>
              </c:strCache>
            </c:strRef>
          </c:tx>
          <c:spPr>
            <a:solidFill>
              <a:schemeClr val="accent3"/>
            </a:solidFill>
            <a:ln w="19050">
              <a:noFill/>
            </a:ln>
            <a:effectLst/>
          </c:spPr>
          <c:invertIfNegative val="0"/>
          <c:cat>
            <c:numRef>
              <c:f>Sheet1!$B$4:$F$4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Sheet1!$B$7:$F$7</c:f>
              <c:numCache>
                <c:formatCode>#\ ##0.0</c:formatCode>
                <c:ptCount val="5"/>
                <c:pt idx="0">
                  <c:v>83.202013000000008</c:v>
                </c:pt>
                <c:pt idx="1">
                  <c:v>65.201149999999998</c:v>
                </c:pt>
                <c:pt idx="2">
                  <c:v>27.948382000000002</c:v>
                </c:pt>
                <c:pt idx="3">
                  <c:v>13.037503000000001</c:v>
                </c:pt>
                <c:pt idx="4">
                  <c:v>20.649352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5B-4BF7-9A9B-30CB56E878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447891136"/>
        <c:axId val="447890656"/>
      </c:barChart>
      <c:catAx>
        <c:axId val="44789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0656"/>
        <c:crosses val="autoZero"/>
        <c:auto val="1"/>
        <c:lblAlgn val="ctr"/>
        <c:lblOffset val="100"/>
        <c:noMultiLvlLbl val="0"/>
      </c:catAx>
      <c:valAx>
        <c:axId val="447890656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v-LV"/>
                  <a:t>milj. euro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1136"/>
        <c:crosses val="autoZero"/>
        <c:crossBetween val="between"/>
      </c:valAx>
      <c:dTable>
        <c:showHorzBorder val="1"/>
        <c:showVertBorder val="0"/>
        <c:showOutline val="0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Sheet1!$A$12</c:f>
              <c:strCache>
                <c:ptCount val="1"/>
                <c:pt idx="0">
                  <c:v>Igaunija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Sheet1!$B$11:$H$11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Sheet1!$B$12:$H$12</c:f>
              <c:numCache>
                <c:formatCode>#\ ##0.0</c:formatCode>
                <c:ptCount val="7"/>
                <c:pt idx="0">
                  <c:v>110.65</c:v>
                </c:pt>
                <c:pt idx="1">
                  <c:v>121.1</c:v>
                </c:pt>
                <c:pt idx="2">
                  <c:v>129.875</c:v>
                </c:pt>
                <c:pt idx="3">
                  <c:v>91.45</c:v>
                </c:pt>
                <c:pt idx="4">
                  <c:v>99.974999999999994</c:v>
                </c:pt>
                <c:pt idx="5">
                  <c:v>149.125</c:v>
                </c:pt>
                <c:pt idx="6">
                  <c:v>170.70000000000002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BD-42C5-A184-D49B6E49005A}"/>
            </c:ext>
          </c:extLst>
        </c:ser>
        <c:ser>
          <c:idx val="1"/>
          <c:order val="1"/>
          <c:tx>
            <c:strRef>
              <c:f>Sheet1!$A$13</c:f>
              <c:strCache>
                <c:ptCount val="1"/>
                <c:pt idx="0">
                  <c:v>Latvija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Sheet1!$B$11:$H$11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Sheet1!$B$13:$H$13</c:f>
              <c:numCache>
                <c:formatCode>#\ ##0.0</c:formatCode>
                <c:ptCount val="7"/>
                <c:pt idx="0">
                  <c:v>121.89999999999999</c:v>
                </c:pt>
                <c:pt idx="1">
                  <c:v>129.19999999999999</c:v>
                </c:pt>
                <c:pt idx="2">
                  <c:v>149.64999999999998</c:v>
                </c:pt>
                <c:pt idx="3">
                  <c:v>104.875</c:v>
                </c:pt>
                <c:pt idx="4">
                  <c:v>99.974999999999994</c:v>
                </c:pt>
                <c:pt idx="5">
                  <c:v>183.47500000000002</c:v>
                </c:pt>
                <c:pt idx="6">
                  <c:v>228.02500000000001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BD-42C5-A184-D49B6E49005A}"/>
            </c:ext>
          </c:extLst>
        </c:ser>
        <c:ser>
          <c:idx val="2"/>
          <c:order val="2"/>
          <c:tx>
            <c:strRef>
              <c:f>Sheet1!$A$14</c:f>
              <c:strCache>
                <c:ptCount val="1"/>
                <c:pt idx="0">
                  <c:v>Lietuva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Sheet1!$B$11:$H$11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Sheet1!$B$14:$H$14</c:f>
              <c:numCache>
                <c:formatCode>#\ ##0.0</c:formatCode>
                <c:ptCount val="7"/>
                <c:pt idx="0">
                  <c:v>76.025000000000006</c:v>
                </c:pt>
                <c:pt idx="1">
                  <c:v>90.1</c:v>
                </c:pt>
                <c:pt idx="2">
                  <c:v>101.17500000000001</c:v>
                </c:pt>
                <c:pt idx="3">
                  <c:v>79.125</c:v>
                </c:pt>
                <c:pt idx="4">
                  <c:v>100.02500000000001</c:v>
                </c:pt>
                <c:pt idx="5">
                  <c:v>160.82499999999999</c:v>
                </c:pt>
                <c:pt idx="6">
                  <c:v>187.85000000000002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BD-42C5-A184-D49B6E4900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447891136"/>
        <c:axId val="447890656"/>
      </c:barChart>
      <c:catAx>
        <c:axId val="44789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0656"/>
        <c:crosses val="autoZero"/>
        <c:auto val="1"/>
        <c:lblAlgn val="ctr"/>
        <c:lblOffset val="100"/>
        <c:noMultiLvlLbl val="0"/>
      </c:catAx>
      <c:valAx>
        <c:axId val="447890656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1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Sheet1!$A$5</c:f>
              <c:strCache>
                <c:ptCount val="1"/>
                <c:pt idx="0">
                  <c:v>Igaunija</c:v>
                </c:pt>
              </c:strCache>
            </c:strRef>
          </c:tx>
          <c:spPr>
            <a:solidFill>
              <a:schemeClr val="accent1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Sheet1!$B$5:$F$5</c:f>
              <c:numCache>
                <c:formatCode>#\ ##0.0</c:formatCode>
                <c:ptCount val="5"/>
                <c:pt idx="0">
                  <c:v>100</c:v>
                </c:pt>
                <c:pt idx="1">
                  <c:v>70.413859480269494</c:v>
                </c:pt>
                <c:pt idx="2">
                  <c:v>76.977863330125118</c:v>
                </c:pt>
                <c:pt idx="3">
                  <c:v>114.82194417709336</c:v>
                </c:pt>
                <c:pt idx="4">
                  <c:v>131.43407122232918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AD-45A2-830E-09119811D1A0}"/>
            </c:ext>
          </c:extLst>
        </c:ser>
        <c:ser>
          <c:idx val="1"/>
          <c:order val="1"/>
          <c:tx>
            <c:strRef>
              <c:f>Sheet1!$A$6</c:f>
              <c:strCache>
                <c:ptCount val="1"/>
                <c:pt idx="0">
                  <c:v>Latvija</c:v>
                </c:pt>
              </c:strCache>
            </c:strRef>
          </c:tx>
          <c:spPr>
            <a:solidFill>
              <a:schemeClr val="accent2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Sheet1!$B$6:$F$6</c:f>
              <c:numCache>
                <c:formatCode>#\ ##0.0</c:formatCode>
                <c:ptCount val="5"/>
                <c:pt idx="0">
                  <c:v>100</c:v>
                </c:pt>
                <c:pt idx="1">
                  <c:v>70.080187103240903</c:v>
                </c:pt>
                <c:pt idx="2">
                  <c:v>66.805880387571008</c:v>
                </c:pt>
                <c:pt idx="3">
                  <c:v>122.60273972602742</c:v>
                </c:pt>
                <c:pt idx="4">
                  <c:v>152.37220180420985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AD-45A2-830E-09119811D1A0}"/>
            </c:ext>
          </c:extLst>
        </c:ser>
        <c:ser>
          <c:idx val="2"/>
          <c:order val="2"/>
          <c:tx>
            <c:strRef>
              <c:f>Sheet1!$A$7</c:f>
              <c:strCache>
                <c:ptCount val="1"/>
                <c:pt idx="0">
                  <c:v>Lietuva</c:v>
                </c:pt>
              </c:strCache>
            </c:strRef>
          </c:tx>
          <c:spPr>
            <a:solidFill>
              <a:schemeClr val="accent3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Sheet1!$B$7:$F$7</c:f>
              <c:numCache>
                <c:formatCode>#\ ##0.0</c:formatCode>
                <c:ptCount val="5"/>
                <c:pt idx="0">
                  <c:v>100</c:v>
                </c:pt>
                <c:pt idx="1">
                  <c:v>78.206078576723485</c:v>
                </c:pt>
                <c:pt idx="2">
                  <c:v>98.863355572028652</c:v>
                </c:pt>
                <c:pt idx="3">
                  <c:v>158.95725228564365</c:v>
                </c:pt>
                <c:pt idx="4">
                  <c:v>185.66839634297008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AD-45A2-830E-09119811D1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447891136"/>
        <c:axId val="447890656"/>
      </c:barChart>
      <c:catAx>
        <c:axId val="44789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0656"/>
        <c:crosses val="autoZero"/>
        <c:auto val="1"/>
        <c:lblAlgn val="ctr"/>
        <c:lblOffset val="100"/>
        <c:noMultiLvlLbl val="0"/>
      </c:catAx>
      <c:valAx>
        <c:axId val="447890656"/>
        <c:scaling>
          <c:orientation val="minMax"/>
          <c:min val="60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v-LV"/>
                  <a:t>indekss, 2019=100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lv-LV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Sheet1!$A$5</c:f>
              <c:strCache>
                <c:ptCount val="1"/>
                <c:pt idx="0">
                  <c:v>Igaunija</c:v>
                </c:pt>
              </c:strCache>
            </c:strRef>
          </c:tx>
          <c:spPr>
            <a:solidFill>
              <a:schemeClr val="accent1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Sheet1!$B$5:$F$5</c:f>
              <c:numCache>
                <c:formatCode>#\ ##0.0</c:formatCode>
                <c:ptCount val="5"/>
                <c:pt idx="0">
                  <c:v>100</c:v>
                </c:pt>
                <c:pt idx="1">
                  <c:v>102.3</c:v>
                </c:pt>
                <c:pt idx="2">
                  <c:v>104.24369999999999</c:v>
                </c:pt>
                <c:pt idx="3">
                  <c:v>116.85718769999998</c:v>
                </c:pt>
                <c:pt idx="4">
                  <c:v>129.711478347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FD-4182-872E-BC5FC75892AD}"/>
            </c:ext>
          </c:extLst>
        </c:ser>
        <c:ser>
          <c:idx val="1"/>
          <c:order val="1"/>
          <c:tx>
            <c:strRef>
              <c:f>Sheet1!$A$6</c:f>
              <c:strCache>
                <c:ptCount val="1"/>
                <c:pt idx="0">
                  <c:v>Latvija</c:v>
                </c:pt>
              </c:strCache>
            </c:strRef>
          </c:tx>
          <c:spPr>
            <a:solidFill>
              <a:schemeClr val="accent2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Sheet1!$B$6:$F$6</c:f>
              <c:numCache>
                <c:formatCode>#\ ##0.0</c:formatCode>
                <c:ptCount val="5"/>
                <c:pt idx="0">
                  <c:v>100</c:v>
                </c:pt>
                <c:pt idx="1">
                  <c:v>103.3</c:v>
                </c:pt>
                <c:pt idx="2">
                  <c:v>105.57259999999999</c:v>
                </c:pt>
                <c:pt idx="3">
                  <c:v>118.6636024</c:v>
                </c:pt>
                <c:pt idx="4">
                  <c:v>133.0218982904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FD-4182-872E-BC5FC75892AD}"/>
            </c:ext>
          </c:extLst>
        </c:ser>
        <c:ser>
          <c:idx val="2"/>
          <c:order val="2"/>
          <c:tx>
            <c:strRef>
              <c:f>Sheet1!$A$7</c:f>
              <c:strCache>
                <c:ptCount val="1"/>
                <c:pt idx="0">
                  <c:v>Lietuva</c:v>
                </c:pt>
              </c:strCache>
            </c:strRef>
          </c:tx>
          <c:spPr>
            <a:solidFill>
              <a:schemeClr val="accent3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Sheet1!$B$7:$F$7</c:f>
              <c:numCache>
                <c:formatCode>#\ ##0.0</c:formatCode>
                <c:ptCount val="5"/>
                <c:pt idx="0">
                  <c:v>100</c:v>
                </c:pt>
                <c:pt idx="1">
                  <c:v>105.69999999999999</c:v>
                </c:pt>
                <c:pt idx="2">
                  <c:v>110.87929999999999</c:v>
                </c:pt>
                <c:pt idx="3">
                  <c:v>128.39822939999996</c:v>
                </c:pt>
                <c:pt idx="4">
                  <c:v>146.37398151599999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FD-4182-872E-BC5FC75892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447891136"/>
        <c:axId val="447890656"/>
      </c:barChart>
      <c:catAx>
        <c:axId val="44789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0656"/>
        <c:crosses val="autoZero"/>
        <c:auto val="1"/>
        <c:lblAlgn val="ctr"/>
        <c:lblOffset val="100"/>
        <c:noMultiLvlLbl val="0"/>
      </c:catAx>
      <c:valAx>
        <c:axId val="447890656"/>
        <c:scaling>
          <c:orientation val="minMax"/>
          <c:max val="200"/>
          <c:min val="60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v-LV"/>
                  <a:t>indekss, 2019=100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lv-LV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Sheet1!$A$5</c:f>
              <c:strCache>
                <c:ptCount val="1"/>
                <c:pt idx="0">
                  <c:v>Igaunija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Sheet1!$B$3:$BI$4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  <c:pt idx="48">
                    <c:v>2024</c:v>
                  </c:pt>
                </c:lvl>
              </c:multiLvlStrCache>
            </c:multiLvlStrRef>
          </c:cat>
          <c:val>
            <c:numRef>
              <c:f>Sheet1!$B$5:$BI$5</c:f>
              <c:numCache>
                <c:formatCode>0.0</c:formatCode>
                <c:ptCount val="60"/>
                <c:pt idx="0">
                  <c:v>3.3</c:v>
                </c:pt>
                <c:pt idx="1">
                  <c:v>3.5</c:v>
                </c:pt>
                <c:pt idx="2">
                  <c:v>3.4</c:v>
                </c:pt>
                <c:pt idx="3">
                  <c:v>3.2</c:v>
                </c:pt>
                <c:pt idx="4">
                  <c:v>4.4000000000000004</c:v>
                </c:pt>
                <c:pt idx="5">
                  <c:v>2.1</c:v>
                </c:pt>
                <c:pt idx="6">
                  <c:v>1.8</c:v>
                </c:pt>
                <c:pt idx="7">
                  <c:v>2</c:v>
                </c:pt>
                <c:pt idx="8">
                  <c:v>1.4</c:v>
                </c:pt>
                <c:pt idx="9">
                  <c:v>0.5</c:v>
                </c:pt>
                <c:pt idx="10">
                  <c:v>1.1000000000000001</c:v>
                </c:pt>
                <c:pt idx="11">
                  <c:v>0.9</c:v>
                </c:pt>
                <c:pt idx="12">
                  <c:v>0.8</c:v>
                </c:pt>
                <c:pt idx="13">
                  <c:v>0.4</c:v>
                </c:pt>
                <c:pt idx="14">
                  <c:v>0</c:v>
                </c:pt>
                <c:pt idx="15">
                  <c:v>0</c:v>
                </c:pt>
                <c:pt idx="16">
                  <c:v>-0.6</c:v>
                </c:pt>
                <c:pt idx="17">
                  <c:v>1.3</c:v>
                </c:pt>
                <c:pt idx="18">
                  <c:v>1.8</c:v>
                </c:pt>
                <c:pt idx="19">
                  <c:v>3.2</c:v>
                </c:pt>
                <c:pt idx="20">
                  <c:v>3.2</c:v>
                </c:pt>
                <c:pt idx="21">
                  <c:v>3.9</c:v>
                </c:pt>
                <c:pt idx="22">
                  <c:v>3.8</c:v>
                </c:pt>
                <c:pt idx="23">
                  <c:v>4.5</c:v>
                </c:pt>
                <c:pt idx="24">
                  <c:v>5.2</c:v>
                </c:pt>
                <c:pt idx="25">
                  <c:v>7.1</c:v>
                </c:pt>
                <c:pt idx="26">
                  <c:v>8.1999999999999993</c:v>
                </c:pt>
                <c:pt idx="27">
                  <c:v>9.9</c:v>
                </c:pt>
                <c:pt idx="28">
                  <c:v>10.199999999999999</c:v>
                </c:pt>
                <c:pt idx="29">
                  <c:v>13.3</c:v>
                </c:pt>
                <c:pt idx="30">
                  <c:v>14.5</c:v>
                </c:pt>
                <c:pt idx="31">
                  <c:v>14.1</c:v>
                </c:pt>
                <c:pt idx="32">
                  <c:v>14.9</c:v>
                </c:pt>
                <c:pt idx="33">
                  <c:v>15.5</c:v>
                </c:pt>
                <c:pt idx="34">
                  <c:v>16</c:v>
                </c:pt>
                <c:pt idx="35">
                  <c:v>16</c:v>
                </c:pt>
                <c:pt idx="36">
                  <c:v>16.100000000000001</c:v>
                </c:pt>
                <c:pt idx="37">
                  <c:v>14.9</c:v>
                </c:pt>
                <c:pt idx="38">
                  <c:v>14.7</c:v>
                </c:pt>
                <c:pt idx="39">
                  <c:v>13.5</c:v>
                </c:pt>
                <c:pt idx="40">
                  <c:v>13.6</c:v>
                </c:pt>
                <c:pt idx="41">
                  <c:v>11</c:v>
                </c:pt>
                <c:pt idx="42">
                  <c:v>9.6999999999999993</c:v>
                </c:pt>
                <c:pt idx="43">
                  <c:v>8.6</c:v>
                </c:pt>
                <c:pt idx="44">
                  <c:v>8.5</c:v>
                </c:pt>
                <c:pt idx="45">
                  <c:v>8.4</c:v>
                </c:pt>
                <c:pt idx="46">
                  <c:v>7.4</c:v>
                </c:pt>
                <c:pt idx="47">
                  <c:v>7.1</c:v>
                </c:pt>
                <c:pt idx="48">
                  <c:v>8.1999999999999993</c:v>
                </c:pt>
                <c:pt idx="49">
                  <c:v>8</c:v>
                </c:pt>
                <c:pt idx="50">
                  <c:v>7.6</c:v>
                </c:pt>
                <c:pt idx="51">
                  <c:v>7.7</c:v>
                </c:pt>
                <c:pt idx="52">
                  <c:v>7.2</c:v>
                </c:pt>
                <c:pt idx="53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CD-4732-8856-C6DC94F75041}"/>
            </c:ext>
          </c:extLst>
        </c:ser>
        <c:ser>
          <c:idx val="1"/>
          <c:order val="1"/>
          <c:tx>
            <c:strRef>
              <c:f>Sheet1!$A$6</c:f>
              <c:strCache>
                <c:ptCount val="1"/>
                <c:pt idx="0">
                  <c:v>Latvija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Sheet1!$B$3:$BI$4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  <c:pt idx="48">
                    <c:v>2024</c:v>
                  </c:pt>
                </c:lvl>
              </c:multiLvlStrCache>
            </c:multiLvlStrRef>
          </c:cat>
          <c:val>
            <c:numRef>
              <c:f>Sheet1!$B$6:$BI$6</c:f>
              <c:numCache>
                <c:formatCode>0.0</c:formatCode>
                <c:ptCount val="60"/>
                <c:pt idx="0">
                  <c:v>3.2</c:v>
                </c:pt>
                <c:pt idx="1">
                  <c:v>3.8</c:v>
                </c:pt>
                <c:pt idx="2">
                  <c:v>4.0999999999999996</c:v>
                </c:pt>
                <c:pt idx="3">
                  <c:v>3.6</c:v>
                </c:pt>
                <c:pt idx="4">
                  <c:v>3.2</c:v>
                </c:pt>
                <c:pt idx="5">
                  <c:v>3.2</c:v>
                </c:pt>
                <c:pt idx="6">
                  <c:v>3.1</c:v>
                </c:pt>
                <c:pt idx="7">
                  <c:v>3</c:v>
                </c:pt>
                <c:pt idx="8">
                  <c:v>3.2</c:v>
                </c:pt>
                <c:pt idx="9">
                  <c:v>3.2</c:v>
                </c:pt>
                <c:pt idx="10">
                  <c:v>2.8</c:v>
                </c:pt>
                <c:pt idx="11">
                  <c:v>3.1</c:v>
                </c:pt>
                <c:pt idx="12">
                  <c:v>2.4</c:v>
                </c:pt>
                <c:pt idx="13">
                  <c:v>1.8</c:v>
                </c:pt>
                <c:pt idx="14">
                  <c:v>1.3</c:v>
                </c:pt>
                <c:pt idx="15">
                  <c:v>1.1000000000000001</c:v>
                </c:pt>
                <c:pt idx="16">
                  <c:v>1.4</c:v>
                </c:pt>
                <c:pt idx="17">
                  <c:v>1.7</c:v>
                </c:pt>
                <c:pt idx="18">
                  <c:v>2</c:v>
                </c:pt>
                <c:pt idx="19">
                  <c:v>2.4</c:v>
                </c:pt>
                <c:pt idx="20">
                  <c:v>2.6</c:v>
                </c:pt>
                <c:pt idx="21">
                  <c:v>3</c:v>
                </c:pt>
                <c:pt idx="22">
                  <c:v>3.7</c:v>
                </c:pt>
                <c:pt idx="23">
                  <c:v>3.6</c:v>
                </c:pt>
                <c:pt idx="24">
                  <c:v>4.8</c:v>
                </c:pt>
                <c:pt idx="25">
                  <c:v>5.9</c:v>
                </c:pt>
                <c:pt idx="26">
                  <c:v>7.2</c:v>
                </c:pt>
                <c:pt idx="27">
                  <c:v>8.9</c:v>
                </c:pt>
                <c:pt idx="28">
                  <c:v>10.3</c:v>
                </c:pt>
                <c:pt idx="29">
                  <c:v>13</c:v>
                </c:pt>
                <c:pt idx="30">
                  <c:v>13.8</c:v>
                </c:pt>
                <c:pt idx="31">
                  <c:v>15</c:v>
                </c:pt>
                <c:pt idx="32">
                  <c:v>15.9</c:v>
                </c:pt>
                <c:pt idx="33">
                  <c:v>16.5</c:v>
                </c:pt>
                <c:pt idx="34">
                  <c:v>18.100000000000001</c:v>
                </c:pt>
                <c:pt idx="35">
                  <c:v>18.600000000000001</c:v>
                </c:pt>
                <c:pt idx="36">
                  <c:v>17.899999999999999</c:v>
                </c:pt>
                <c:pt idx="37">
                  <c:v>17.399999999999999</c:v>
                </c:pt>
                <c:pt idx="38">
                  <c:v>16.600000000000001</c:v>
                </c:pt>
                <c:pt idx="39">
                  <c:v>15.5</c:v>
                </c:pt>
                <c:pt idx="40">
                  <c:v>14.5</c:v>
                </c:pt>
                <c:pt idx="41">
                  <c:v>12</c:v>
                </c:pt>
                <c:pt idx="42">
                  <c:v>11.5</c:v>
                </c:pt>
                <c:pt idx="43">
                  <c:v>10.4</c:v>
                </c:pt>
                <c:pt idx="44">
                  <c:v>9.1999999999999993</c:v>
                </c:pt>
                <c:pt idx="45">
                  <c:v>8.8000000000000007</c:v>
                </c:pt>
                <c:pt idx="46">
                  <c:v>7</c:v>
                </c:pt>
                <c:pt idx="47">
                  <c:v>6.5</c:v>
                </c:pt>
                <c:pt idx="48">
                  <c:v>6.3</c:v>
                </c:pt>
                <c:pt idx="49">
                  <c:v>5.9</c:v>
                </c:pt>
                <c:pt idx="50">
                  <c:v>6</c:v>
                </c:pt>
                <c:pt idx="51">
                  <c:v>5.3</c:v>
                </c:pt>
                <c:pt idx="52">
                  <c:v>4.8</c:v>
                </c:pt>
                <c:pt idx="53">
                  <c:v>4.4000000000000004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3CD-4732-8856-C6DC94F75041}"/>
            </c:ext>
          </c:extLst>
        </c:ser>
        <c:ser>
          <c:idx val="2"/>
          <c:order val="2"/>
          <c:tx>
            <c:strRef>
              <c:f>Sheet1!$A$7</c:f>
              <c:strCache>
                <c:ptCount val="1"/>
                <c:pt idx="0">
                  <c:v>Lietuva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multiLvlStrRef>
              <c:f>Sheet1!$B$3:$BI$4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  <c:pt idx="48">
                    <c:v>2024</c:v>
                  </c:pt>
                </c:lvl>
              </c:multiLvlStrCache>
            </c:multiLvlStrRef>
          </c:cat>
          <c:val>
            <c:numRef>
              <c:f>Sheet1!$B$7:$BI$7</c:f>
              <c:numCache>
                <c:formatCode>0.0</c:formatCode>
                <c:ptCount val="60"/>
                <c:pt idx="0">
                  <c:v>6.6</c:v>
                </c:pt>
                <c:pt idx="1">
                  <c:v>6.5</c:v>
                </c:pt>
                <c:pt idx="2">
                  <c:v>6.3</c:v>
                </c:pt>
                <c:pt idx="3">
                  <c:v>6.1</c:v>
                </c:pt>
                <c:pt idx="4">
                  <c:v>6.3</c:v>
                </c:pt>
                <c:pt idx="5">
                  <c:v>6.4</c:v>
                </c:pt>
                <c:pt idx="6">
                  <c:v>5.9</c:v>
                </c:pt>
                <c:pt idx="7">
                  <c:v>5.5</c:v>
                </c:pt>
                <c:pt idx="8">
                  <c:v>4.9000000000000004</c:v>
                </c:pt>
                <c:pt idx="9">
                  <c:v>4.8</c:v>
                </c:pt>
                <c:pt idx="10">
                  <c:v>4.7</c:v>
                </c:pt>
                <c:pt idx="11">
                  <c:v>4</c:v>
                </c:pt>
                <c:pt idx="12">
                  <c:v>3.3</c:v>
                </c:pt>
                <c:pt idx="13">
                  <c:v>3</c:v>
                </c:pt>
                <c:pt idx="14">
                  <c:v>2.7</c:v>
                </c:pt>
                <c:pt idx="15">
                  <c:v>2.9</c:v>
                </c:pt>
                <c:pt idx="16">
                  <c:v>3.5</c:v>
                </c:pt>
                <c:pt idx="17">
                  <c:v>4.2</c:v>
                </c:pt>
                <c:pt idx="18">
                  <c:v>5.3</c:v>
                </c:pt>
                <c:pt idx="19">
                  <c:v>5.6</c:v>
                </c:pt>
                <c:pt idx="20">
                  <c:v>5.8</c:v>
                </c:pt>
                <c:pt idx="21">
                  <c:v>6.3</c:v>
                </c:pt>
                <c:pt idx="22">
                  <c:v>7.4</c:v>
                </c:pt>
                <c:pt idx="23">
                  <c:v>8.1999999999999993</c:v>
                </c:pt>
                <c:pt idx="24">
                  <c:v>10</c:v>
                </c:pt>
                <c:pt idx="25">
                  <c:v>11.3</c:v>
                </c:pt>
                <c:pt idx="26">
                  <c:v>12.5</c:v>
                </c:pt>
                <c:pt idx="27">
                  <c:v>13.6</c:v>
                </c:pt>
                <c:pt idx="28">
                  <c:v>14.9</c:v>
                </c:pt>
                <c:pt idx="29">
                  <c:v>15.9</c:v>
                </c:pt>
                <c:pt idx="30">
                  <c:v>15.5</c:v>
                </c:pt>
                <c:pt idx="31">
                  <c:v>15.8</c:v>
                </c:pt>
                <c:pt idx="32">
                  <c:v>18.8</c:v>
                </c:pt>
                <c:pt idx="33">
                  <c:v>20</c:v>
                </c:pt>
                <c:pt idx="34">
                  <c:v>19.7</c:v>
                </c:pt>
                <c:pt idx="35">
                  <c:v>20.8</c:v>
                </c:pt>
                <c:pt idx="36">
                  <c:v>19.899999999999999</c:v>
                </c:pt>
                <c:pt idx="37">
                  <c:v>19.100000000000001</c:v>
                </c:pt>
                <c:pt idx="38">
                  <c:v>18.5</c:v>
                </c:pt>
                <c:pt idx="39">
                  <c:v>18.899999999999999</c:v>
                </c:pt>
                <c:pt idx="40">
                  <c:v>16.5</c:v>
                </c:pt>
                <c:pt idx="41">
                  <c:v>14.7</c:v>
                </c:pt>
                <c:pt idx="42">
                  <c:v>14.3</c:v>
                </c:pt>
                <c:pt idx="43">
                  <c:v>14</c:v>
                </c:pt>
                <c:pt idx="44">
                  <c:v>10.6</c:v>
                </c:pt>
                <c:pt idx="45">
                  <c:v>9</c:v>
                </c:pt>
                <c:pt idx="46">
                  <c:v>8.3000000000000007</c:v>
                </c:pt>
                <c:pt idx="47">
                  <c:v>7.5</c:v>
                </c:pt>
                <c:pt idx="48">
                  <c:v>9.6999999999999993</c:v>
                </c:pt>
                <c:pt idx="49">
                  <c:v>10.7</c:v>
                </c:pt>
                <c:pt idx="50">
                  <c:v>10.199999999999999</c:v>
                </c:pt>
                <c:pt idx="51">
                  <c:v>9.5</c:v>
                </c:pt>
                <c:pt idx="52">
                  <c:v>9.3000000000000007</c:v>
                </c:pt>
                <c:pt idx="53">
                  <c:v>9.4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3CD-4732-8856-C6DC94F750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7891136"/>
        <c:axId val="447890656"/>
      </c:lineChart>
      <c:catAx>
        <c:axId val="44789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0656"/>
        <c:crosses val="autoZero"/>
        <c:auto val="1"/>
        <c:lblAlgn val="ctr"/>
        <c:lblOffset val="100"/>
        <c:noMultiLvlLbl val="0"/>
      </c:catAx>
      <c:valAx>
        <c:axId val="447890656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v-LV"/>
                  <a:t>gada pārmaiņas,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lv-LV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891559488798841"/>
          <c:y val="8.9361465667179757E-2"/>
          <c:w val="0.76358199953921402"/>
          <c:h val="0.57657520831066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Sheet1!$A$5</c:f>
              <c:strCache>
                <c:ptCount val="1"/>
                <c:pt idx="0">
                  <c:v>Igaunija</c:v>
                </c:pt>
              </c:strCache>
            </c:strRef>
          </c:tx>
          <c:spPr>
            <a:solidFill>
              <a:schemeClr val="accent1"/>
            </a:solidFill>
            <a:ln w="19050">
              <a:noFill/>
            </a:ln>
            <a:effectLst/>
          </c:spPr>
          <c:invertIfNegative val="0"/>
          <c:cat>
            <c:numRef>
              <c:f>Sheet1!$B$4:$F$4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Sheet1!$B$5:$F$5</c:f>
              <c:numCache>
                <c:formatCode>#\ ##0.0</c:formatCode>
                <c:ptCount val="5"/>
                <c:pt idx="0">
                  <c:v>17.137900000000002</c:v>
                </c:pt>
                <c:pt idx="1">
                  <c:v>19.182400000000001</c:v>
                </c:pt>
                <c:pt idx="2">
                  <c:v>-4.5428999999999995</c:v>
                </c:pt>
                <c:pt idx="3">
                  <c:v>15.302200000000001</c:v>
                </c:pt>
                <c:pt idx="4">
                  <c:v>24.6065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A1-4BC0-A85E-B589BF5CE59D}"/>
            </c:ext>
          </c:extLst>
        </c:ser>
        <c:ser>
          <c:idx val="1"/>
          <c:order val="1"/>
          <c:tx>
            <c:strRef>
              <c:f>Sheet1!$A$6</c:f>
              <c:strCache>
                <c:ptCount val="1"/>
                <c:pt idx="0">
                  <c:v>Latvija</c:v>
                </c:pt>
              </c:strCache>
            </c:strRef>
          </c:tx>
          <c:spPr>
            <a:solidFill>
              <a:schemeClr val="accent2"/>
            </a:solidFill>
            <a:ln w="19050">
              <a:noFill/>
            </a:ln>
            <a:effectLst/>
          </c:spPr>
          <c:invertIfNegative val="0"/>
          <c:cat>
            <c:numRef>
              <c:f>Sheet1!$B$4:$F$4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Sheet1!$B$6:$F$6</c:f>
              <c:numCache>
                <c:formatCode>#\ ##0.0</c:formatCode>
                <c:ptCount val="5"/>
                <c:pt idx="0">
                  <c:v>3.3</c:v>
                </c:pt>
                <c:pt idx="1">
                  <c:v>2.1</c:v>
                </c:pt>
                <c:pt idx="2">
                  <c:v>-18.100000000000001</c:v>
                </c:pt>
                <c:pt idx="3">
                  <c:v>13.6</c:v>
                </c:pt>
                <c:pt idx="4">
                  <c:v>13.3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A1-4BC0-A85E-B589BF5CE59D}"/>
            </c:ext>
          </c:extLst>
        </c:ser>
        <c:ser>
          <c:idx val="2"/>
          <c:order val="2"/>
          <c:tx>
            <c:strRef>
              <c:f>Sheet1!$A$7</c:f>
              <c:strCache>
                <c:ptCount val="1"/>
                <c:pt idx="0">
                  <c:v>Lietuva</c:v>
                </c:pt>
              </c:strCache>
            </c:strRef>
          </c:tx>
          <c:spPr>
            <a:solidFill>
              <a:schemeClr val="accent3"/>
            </a:solidFill>
            <a:ln w="19050">
              <a:noFill/>
            </a:ln>
            <a:effectLst/>
          </c:spPr>
          <c:invertIfNegative val="0"/>
          <c:cat>
            <c:numRef>
              <c:f>Sheet1!$B$4:$F$4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Sheet1!$B$7:$F$7</c:f>
              <c:numCache>
                <c:formatCode>#\ ##0.0</c:formatCode>
                <c:ptCount val="5"/>
                <c:pt idx="0">
                  <c:v>19.446000000000002</c:v>
                </c:pt>
                <c:pt idx="1">
                  <c:v>28.565999999999999</c:v>
                </c:pt>
                <c:pt idx="2">
                  <c:v>-6.17</c:v>
                </c:pt>
                <c:pt idx="3">
                  <c:v>25.785</c:v>
                </c:pt>
                <c:pt idx="4">
                  <c:v>61.575000000000003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A1-4BC0-A85E-B589BF5CE5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447891136"/>
        <c:axId val="447890656"/>
      </c:barChart>
      <c:catAx>
        <c:axId val="44789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0656"/>
        <c:crosses val="autoZero"/>
        <c:auto val="1"/>
        <c:lblAlgn val="ctr"/>
        <c:lblOffset val="100"/>
        <c:noMultiLvlLbl val="0"/>
      </c:catAx>
      <c:valAx>
        <c:axId val="447890656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v-LV"/>
                  <a:t>milj. euro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1136"/>
        <c:crosses val="autoZero"/>
        <c:crossBetween val="between"/>
      </c:valAx>
      <c:dTable>
        <c:showHorzBorder val="1"/>
        <c:showVertBorder val="0"/>
        <c:showOutline val="0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lv-LV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891559488798841"/>
          <c:y val="8.9361465667179757E-2"/>
          <c:w val="0.7678849255288871"/>
          <c:h val="0.59421707834888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Sheet1!$A$5</c:f>
              <c:strCache>
                <c:ptCount val="1"/>
                <c:pt idx="0">
                  <c:v>Igaunija</c:v>
                </c:pt>
              </c:strCache>
            </c:strRef>
          </c:tx>
          <c:spPr>
            <a:solidFill>
              <a:schemeClr val="accent1"/>
            </a:solidFill>
            <a:ln w="19050">
              <a:noFill/>
            </a:ln>
            <a:effectLst/>
          </c:spPr>
          <c:invertIfNegative val="0"/>
          <c:cat>
            <c:numRef>
              <c:f>Sheet1!$B$4:$F$4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Sheet1!$B$5:$F$5</c:f>
              <c:numCache>
                <c:formatCode>#\ ##0.0</c:formatCode>
                <c:ptCount val="5"/>
                <c:pt idx="0">
                  <c:v>2.61</c:v>
                </c:pt>
                <c:pt idx="1">
                  <c:v>2.61</c:v>
                </c:pt>
                <c:pt idx="2">
                  <c:v>-0.81</c:v>
                </c:pt>
                <c:pt idx="3">
                  <c:v>2.4300000000000002</c:v>
                </c:pt>
                <c:pt idx="4">
                  <c:v>2.78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40-469F-9E3B-7A3D258344DC}"/>
            </c:ext>
          </c:extLst>
        </c:ser>
        <c:ser>
          <c:idx val="1"/>
          <c:order val="1"/>
          <c:tx>
            <c:strRef>
              <c:f>Sheet1!$A$6</c:f>
              <c:strCache>
                <c:ptCount val="1"/>
                <c:pt idx="0">
                  <c:v>Latvija</c:v>
                </c:pt>
              </c:strCache>
            </c:strRef>
          </c:tx>
          <c:spPr>
            <a:solidFill>
              <a:schemeClr val="accent2"/>
            </a:solidFill>
            <a:ln w="19050">
              <a:noFill/>
            </a:ln>
            <a:effectLst/>
          </c:spPr>
          <c:invertIfNegative val="0"/>
          <c:cat>
            <c:numRef>
              <c:f>Sheet1!$B$4:$F$4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Sheet1!$B$6:$F$6</c:f>
              <c:numCache>
                <c:formatCode>#\ ##0.0</c:formatCode>
                <c:ptCount val="5"/>
                <c:pt idx="0">
                  <c:v>0.48099999999999998</c:v>
                </c:pt>
                <c:pt idx="1">
                  <c:v>0.28100000000000003</c:v>
                </c:pt>
                <c:pt idx="2">
                  <c:v>-3.4929999999999999</c:v>
                </c:pt>
                <c:pt idx="3">
                  <c:v>2.6880000000000002</c:v>
                </c:pt>
                <c:pt idx="4">
                  <c:v>1.6870000000000001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40-469F-9E3B-7A3D258344DC}"/>
            </c:ext>
          </c:extLst>
        </c:ser>
        <c:ser>
          <c:idx val="2"/>
          <c:order val="2"/>
          <c:tx>
            <c:strRef>
              <c:f>Sheet1!$A$7</c:f>
              <c:strCache>
                <c:ptCount val="1"/>
                <c:pt idx="0">
                  <c:v>Lietuva</c:v>
                </c:pt>
              </c:strCache>
            </c:strRef>
          </c:tx>
          <c:spPr>
            <a:solidFill>
              <a:schemeClr val="accent3"/>
            </a:solidFill>
            <a:ln w="19050">
              <a:noFill/>
            </a:ln>
            <a:effectLst/>
          </c:spPr>
          <c:invertIfNegative val="0"/>
          <c:cat>
            <c:numRef>
              <c:f>Sheet1!$B$4:$F$4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Sheet1!$B$7:$F$7</c:f>
              <c:numCache>
                <c:formatCode>#\ ##0.0</c:formatCode>
                <c:ptCount val="5"/>
                <c:pt idx="0">
                  <c:v>2.5</c:v>
                </c:pt>
                <c:pt idx="1">
                  <c:v>3.2</c:v>
                </c:pt>
                <c:pt idx="3">
                  <c:v>2.9</c:v>
                </c:pt>
                <c:pt idx="4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40-469F-9E3B-7A3D258344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447891136"/>
        <c:axId val="447890656"/>
      </c:barChart>
      <c:catAx>
        <c:axId val="44789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0656"/>
        <c:crosses val="autoZero"/>
        <c:auto val="1"/>
        <c:lblAlgn val="ctr"/>
        <c:lblOffset val="100"/>
        <c:noMultiLvlLbl val="0"/>
      </c:catAx>
      <c:valAx>
        <c:axId val="447890656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v-LV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1136"/>
        <c:crosses val="autoZero"/>
        <c:crossBetween val="between"/>
      </c:valAx>
      <c:dTable>
        <c:showHorzBorder val="1"/>
        <c:showVertBorder val="0"/>
        <c:showOutline val="0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lv-LV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891559488798841"/>
          <c:y val="8.9361465667179757E-2"/>
          <c:w val="0.76358199953921402"/>
          <c:h val="0.59421707834888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Sheet1!$A$5</c:f>
              <c:strCache>
                <c:ptCount val="1"/>
                <c:pt idx="0">
                  <c:v>Igaunija</c:v>
                </c:pt>
              </c:strCache>
            </c:strRef>
          </c:tx>
          <c:spPr>
            <a:solidFill>
              <a:schemeClr val="accent1"/>
            </a:solidFill>
            <a:ln w="19050">
              <a:noFill/>
            </a:ln>
            <a:effectLst/>
          </c:spPr>
          <c:invertIfNegative val="0"/>
          <c:cat>
            <c:numRef>
              <c:f>Sheet1!$B$4:$F$4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Sheet1!$B$5:$F$5</c:f>
              <c:numCache>
                <c:formatCode>#\ ##0.0</c:formatCode>
                <c:ptCount val="5"/>
                <c:pt idx="0">
                  <c:v>1.46</c:v>
                </c:pt>
                <c:pt idx="1">
                  <c:v>1.35</c:v>
                </c:pt>
                <c:pt idx="2">
                  <c:v>1.34</c:v>
                </c:pt>
                <c:pt idx="3">
                  <c:v>1.34</c:v>
                </c:pt>
                <c:pt idx="4">
                  <c:v>1.28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0C-453B-90E5-166F39E5BA27}"/>
            </c:ext>
          </c:extLst>
        </c:ser>
        <c:ser>
          <c:idx val="1"/>
          <c:order val="1"/>
          <c:tx>
            <c:strRef>
              <c:f>Sheet1!$A$6</c:f>
              <c:strCache>
                <c:ptCount val="1"/>
                <c:pt idx="0">
                  <c:v>Latvija</c:v>
                </c:pt>
              </c:strCache>
            </c:strRef>
          </c:tx>
          <c:spPr>
            <a:solidFill>
              <a:schemeClr val="accent2"/>
            </a:solidFill>
            <a:ln w="19050">
              <a:noFill/>
            </a:ln>
            <a:effectLst/>
          </c:spPr>
          <c:invertIfNegative val="0"/>
          <c:cat>
            <c:numRef>
              <c:f>Sheet1!$B$4:$F$4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Sheet1!$B$6:$F$6</c:f>
              <c:numCache>
                <c:formatCode>#\ ##0.0</c:formatCode>
                <c:ptCount val="5"/>
                <c:pt idx="0">
                  <c:v>0.71199999999999997</c:v>
                </c:pt>
                <c:pt idx="1">
                  <c:v>0.64</c:v>
                </c:pt>
                <c:pt idx="2">
                  <c:v>0.71</c:v>
                </c:pt>
                <c:pt idx="3">
                  <c:v>0.83399999999999996</c:v>
                </c:pt>
                <c:pt idx="4">
                  <c:v>0.91100000000000003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0C-453B-90E5-166F39E5BA27}"/>
            </c:ext>
          </c:extLst>
        </c:ser>
        <c:ser>
          <c:idx val="2"/>
          <c:order val="2"/>
          <c:tx>
            <c:strRef>
              <c:f>Sheet1!$A$7</c:f>
              <c:strCache>
                <c:ptCount val="1"/>
                <c:pt idx="0">
                  <c:v>Lietuva</c:v>
                </c:pt>
              </c:strCache>
            </c:strRef>
          </c:tx>
          <c:spPr>
            <a:solidFill>
              <a:schemeClr val="accent3"/>
            </a:solidFill>
            <a:ln w="19050">
              <a:noFill/>
            </a:ln>
            <a:effectLst/>
          </c:spPr>
          <c:invertIfNegative val="0"/>
          <c:cat>
            <c:numRef>
              <c:f>Sheet1!$B$4:$F$4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Sheet1!$B$7:$F$7</c:f>
              <c:numCache>
                <c:formatCode>#\ ##0.0</c:formatCode>
                <c:ptCount val="5"/>
                <c:pt idx="0">
                  <c:v>1.51</c:v>
                </c:pt>
                <c:pt idx="1">
                  <c:v>1.52</c:v>
                </c:pt>
                <c:pt idx="2">
                  <c:v>1.62</c:v>
                </c:pt>
                <c:pt idx="3">
                  <c:v>1.59</c:v>
                </c:pt>
                <c:pt idx="4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0C-453B-90E5-166F39E5B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447891136"/>
        <c:axId val="447890656"/>
      </c:barChart>
      <c:catAx>
        <c:axId val="44789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0656"/>
        <c:crosses val="autoZero"/>
        <c:auto val="1"/>
        <c:lblAlgn val="ctr"/>
        <c:lblOffset val="100"/>
        <c:noMultiLvlLbl val="0"/>
      </c:catAx>
      <c:valAx>
        <c:axId val="447890656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v-LV"/>
                  <a:t>koeficients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1136"/>
        <c:crosses val="autoZero"/>
        <c:crossBetween val="between"/>
      </c:valAx>
      <c:dTable>
        <c:showHorzBorder val="1"/>
        <c:showVertBorder val="0"/>
        <c:showOutline val="0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lv-LV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891559488798841"/>
          <c:y val="8.9361465667179757E-2"/>
          <c:w val="0.76358199953921402"/>
          <c:h val="0.59421707834888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Sheet1!$A$5</c:f>
              <c:strCache>
                <c:ptCount val="1"/>
                <c:pt idx="0">
                  <c:v>Igaunija</c:v>
                </c:pt>
              </c:strCache>
            </c:strRef>
          </c:tx>
          <c:spPr>
            <a:solidFill>
              <a:schemeClr val="accent1"/>
            </a:solidFill>
            <a:ln w="19050">
              <a:noFill/>
            </a:ln>
            <a:effectLst/>
          </c:spPr>
          <c:invertIfNegative val="0"/>
          <c:cat>
            <c:numRef>
              <c:f>Sheet1!$B$4:$F$4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Sheet1!$B$5:$F$5</c:f>
              <c:numCache>
                <c:formatCode>#\ ##0.0</c:formatCode>
                <c:ptCount val="5"/>
                <c:pt idx="0">
                  <c:v>714.61704865999945</c:v>
                </c:pt>
                <c:pt idx="1">
                  <c:v>548.69788431999962</c:v>
                </c:pt>
                <c:pt idx="2">
                  <c:v>606.31601245000002</c:v>
                </c:pt>
                <c:pt idx="3">
                  <c:v>885.92289810999966</c:v>
                </c:pt>
                <c:pt idx="4">
                  <c:v>1024.8971302099999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64-47AE-8CCE-1F8E3CCBC88D}"/>
            </c:ext>
          </c:extLst>
        </c:ser>
        <c:ser>
          <c:idx val="1"/>
          <c:order val="1"/>
          <c:tx>
            <c:strRef>
              <c:f>Sheet1!$A$6</c:f>
              <c:strCache>
                <c:ptCount val="1"/>
                <c:pt idx="0">
                  <c:v>Lavija</c:v>
                </c:pt>
              </c:strCache>
            </c:strRef>
          </c:tx>
          <c:spPr>
            <a:solidFill>
              <a:schemeClr val="accent2"/>
            </a:solidFill>
            <a:ln w="19050">
              <a:noFill/>
            </a:ln>
            <a:effectLst/>
          </c:spPr>
          <c:invertIfNegative val="0"/>
          <c:cat>
            <c:numRef>
              <c:f>Sheet1!$B$4:$F$4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Sheet1!$B$6:$F$6</c:f>
              <c:numCache>
                <c:formatCode>#\ ##0.0</c:formatCode>
                <c:ptCount val="5"/>
                <c:pt idx="0">
                  <c:v>623.64684738000005</c:v>
                </c:pt>
                <c:pt idx="1">
                  <c:v>467.94538206999999</c:v>
                </c:pt>
                <c:pt idx="2">
                  <c:v>474.42826007999997</c:v>
                </c:pt>
                <c:pt idx="3">
                  <c:v>800.34064011999999</c:v>
                </c:pt>
                <c:pt idx="4">
                  <c:v>988.67746611999996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64-47AE-8CCE-1F8E3CCBC88D}"/>
            </c:ext>
          </c:extLst>
        </c:ser>
        <c:ser>
          <c:idx val="2"/>
          <c:order val="2"/>
          <c:tx>
            <c:strRef>
              <c:f>Sheet1!$A$7</c:f>
              <c:strCache>
                <c:ptCount val="1"/>
                <c:pt idx="0">
                  <c:v>Lietuva</c:v>
                </c:pt>
              </c:strCache>
            </c:strRef>
          </c:tx>
          <c:spPr>
            <a:solidFill>
              <a:schemeClr val="accent3"/>
            </a:solidFill>
            <a:ln w="19050">
              <a:noFill/>
            </a:ln>
            <a:effectLst/>
          </c:spPr>
          <c:invertIfNegative val="0"/>
          <c:cat>
            <c:numRef>
              <c:f>Sheet1!$B$4:$F$4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Sheet1!$B$7:$F$7</c:f>
              <c:numCache>
                <c:formatCode>#\ ##0.0</c:formatCode>
                <c:ptCount val="5"/>
                <c:pt idx="0">
                  <c:v>975.98821900000007</c:v>
                </c:pt>
                <c:pt idx="1">
                  <c:v>815.31503699999996</c:v>
                </c:pt>
                <c:pt idx="2">
                  <c:v>1034.524396</c:v>
                </c:pt>
                <c:pt idx="3">
                  <c:v>1509.6508489999999</c:v>
                </c:pt>
                <c:pt idx="4">
                  <c:v>1753.4088060000001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64-47AE-8CCE-1F8E3CCBC8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447891136"/>
        <c:axId val="447890656"/>
      </c:barChart>
      <c:catAx>
        <c:axId val="44789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0656"/>
        <c:crosses val="autoZero"/>
        <c:auto val="1"/>
        <c:lblAlgn val="ctr"/>
        <c:lblOffset val="100"/>
        <c:noMultiLvlLbl val="0"/>
      </c:catAx>
      <c:valAx>
        <c:axId val="447890656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v-LV"/>
                  <a:t>milj. euro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47891136"/>
        <c:crosses val="autoZero"/>
        <c:crossBetween val="between"/>
      </c:valAx>
      <c:dTable>
        <c:showHorzBorder val="1"/>
        <c:showVertBorder val="0"/>
        <c:showOutline val="0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0.30941</cdr:x>
      <cdr:y>0</cdr:y>
    </cdr:from>
    <cdr:to>
      <cdr:x>0.70216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837830" y="-4686300"/>
          <a:ext cx="2332853" cy="1799590"/>
        </a:xfrm>
        <a:prstGeom xmlns:a="http://schemas.openxmlformats.org/drawingml/2006/main" prst="rect">
          <a:avLst/>
        </a:prstGeom>
        <a:solidFill xmlns:a="http://schemas.openxmlformats.org/drawingml/2006/main">
          <a:srgbClr val="25F315">
            <a:alpha val="14902"/>
          </a:srgb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lv-LV" sz="600">
              <a:solidFill>
                <a:sysClr val="windowText" lastClr="000000"/>
              </a:solidFill>
            </a:rPr>
            <a:t>Lietuva: PVN samazinātā likme ēdināšanas pakalpojumiem</a:t>
          </a:r>
        </a:p>
      </cdr:txBody>
    </cdr:sp>
  </cdr:relSizeAnchor>
  <cdr:relSizeAnchor xmlns:cdr="http://schemas.openxmlformats.org/drawingml/2006/chartDrawing">
    <cdr:from>
      <cdr:x>0.70344</cdr:x>
      <cdr:y>0</cdr:y>
    </cdr:from>
    <cdr:to>
      <cdr:x>0.85717</cdr:x>
      <cdr:y>1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4178300" y="0"/>
          <a:ext cx="913108" cy="1799590"/>
        </a:xfrm>
        <a:prstGeom xmlns:a="http://schemas.openxmlformats.org/drawingml/2006/main" prst="rect">
          <a:avLst/>
        </a:prstGeom>
        <a:solidFill xmlns:a="http://schemas.openxmlformats.org/drawingml/2006/main">
          <a:srgbClr val="E0F565">
            <a:alpha val="14902"/>
          </a:srgb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lv-LV" sz="600">
              <a:solidFill>
                <a:sysClr val="windowText" lastClr="000000"/>
              </a:solidFill>
            </a:rPr>
            <a:t>Igaunija: PVN standartlikme pacelta</a:t>
          </a:r>
          <a:r>
            <a:rPr lang="lv-LV" sz="600" baseline="0">
              <a:solidFill>
                <a:sysClr val="windowText" lastClr="000000"/>
              </a:solidFill>
            </a:rPr>
            <a:t> par 2 pp.</a:t>
          </a:r>
          <a:endParaRPr lang="lv-LV" sz="600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84E9A-0ED4-4C78-84C4-A6E2ED95FB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3e7d20-2181-4348-af28-4cbf4a40754e}" enabled="1" method="Privilege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6</Pages>
  <Words>10227</Words>
  <Characters>5830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Aleksejs Meļihovs</dc:creator>
  <cp:keywords/>
  <dc:description/>
  <cp:lastModifiedBy>Aleksejs Meļihovs</cp:lastModifiedBy>
  <cp:revision>12</cp:revision>
  <dcterms:created xsi:type="dcterms:W3CDTF">2024-08-20T06:53:00Z</dcterms:created>
  <dcterms:modified xsi:type="dcterms:W3CDTF">2024-08-20T14:11:00Z</dcterms:modified>
</cp:coreProperties>
</file>